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E2" w:rsidRDefault="00F37EE2">
      <w:pPr>
        <w:jc w:val="center"/>
        <w:rPr>
          <w:b/>
          <w:bCs/>
        </w:rPr>
      </w:pPr>
      <w:r>
        <w:rPr>
          <w:b/>
          <w:bCs/>
        </w:rPr>
        <w:t>Student Learning Assessment Program</w:t>
      </w:r>
    </w:p>
    <w:p w:rsidR="00F37EE2" w:rsidRDefault="00F37EE2">
      <w:pPr>
        <w:pStyle w:val="Heading2"/>
      </w:pPr>
      <w:r>
        <w:t>Response to Summary Form</w:t>
      </w:r>
    </w:p>
    <w:p w:rsidR="00F37EE2" w:rsidRDefault="008D31F7">
      <w:pPr>
        <w:jc w:val="center"/>
      </w:pPr>
      <w:r>
        <w:rPr>
          <w:b/>
          <w:bCs/>
        </w:rPr>
        <w:t xml:space="preserve">Undergraduate Programs </w:t>
      </w:r>
      <w:r w:rsidR="00CA375E">
        <w:rPr>
          <w:b/>
          <w:bCs/>
        </w:rPr>
        <w:t>20</w:t>
      </w:r>
      <w:r w:rsidR="00C16F99">
        <w:rPr>
          <w:b/>
          <w:bCs/>
        </w:rPr>
        <w:t>1</w:t>
      </w:r>
      <w:r w:rsidR="00CF1149">
        <w:rPr>
          <w:b/>
          <w:bCs/>
        </w:rPr>
        <w:t>7</w:t>
      </w:r>
    </w:p>
    <w:p w:rsidR="00F37EE2" w:rsidRDefault="00F37EE2">
      <w:pPr>
        <w:jc w:val="center"/>
      </w:pPr>
    </w:p>
    <w:p w:rsidR="00F37EE2" w:rsidRDefault="00F37EE2">
      <w:r>
        <w:t xml:space="preserve">Department:  </w:t>
      </w:r>
      <w:r w:rsidR="00EB06F7">
        <w:t>Kinesiology &amp; Sports Studies</w:t>
      </w:r>
      <w:r w:rsidR="00415269">
        <w:t>—Exercise Science</w:t>
      </w:r>
    </w:p>
    <w:p w:rsidR="00F37EE2" w:rsidRDefault="00F37EE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980"/>
        <w:gridCol w:w="6300"/>
      </w:tblGrid>
      <w:tr w:rsidR="00F37EE2" w:rsidTr="00B36B6B">
        <w:trPr>
          <w:trHeight w:val="665"/>
        </w:trPr>
        <w:tc>
          <w:tcPr>
            <w:tcW w:w="1440" w:type="dxa"/>
          </w:tcPr>
          <w:p w:rsidR="00F37EE2" w:rsidRDefault="00F37EE2">
            <w:pPr>
              <w:jc w:val="center"/>
              <w:rPr>
                <w:b/>
                <w:bCs/>
                <w:sz w:val="22"/>
              </w:rPr>
            </w:pPr>
            <w:r>
              <w:rPr>
                <w:b/>
                <w:bCs/>
                <w:sz w:val="22"/>
              </w:rPr>
              <w:t>Category</w:t>
            </w:r>
          </w:p>
        </w:tc>
        <w:tc>
          <w:tcPr>
            <w:tcW w:w="1980" w:type="dxa"/>
          </w:tcPr>
          <w:p w:rsidR="00F37EE2" w:rsidRDefault="00F37EE2">
            <w:pPr>
              <w:jc w:val="center"/>
              <w:rPr>
                <w:b/>
                <w:bCs/>
                <w:sz w:val="22"/>
              </w:rPr>
            </w:pPr>
            <w:r>
              <w:rPr>
                <w:b/>
                <w:bCs/>
                <w:sz w:val="22"/>
              </w:rPr>
              <w:t>Level</w:t>
            </w:r>
            <w:r>
              <w:rPr>
                <w:rStyle w:val="FootnoteReference"/>
                <w:b/>
                <w:bCs/>
                <w:sz w:val="22"/>
              </w:rPr>
              <w:footnoteReference w:customMarkFollows="1" w:id="1"/>
              <w:t>*</w:t>
            </w:r>
          </w:p>
        </w:tc>
        <w:tc>
          <w:tcPr>
            <w:tcW w:w="6300" w:type="dxa"/>
          </w:tcPr>
          <w:p w:rsidR="00F37EE2" w:rsidRDefault="00F37EE2">
            <w:pPr>
              <w:pStyle w:val="Heading1"/>
              <w:jc w:val="center"/>
              <w:rPr>
                <w:b w:val="0"/>
                <w:bCs w:val="0"/>
                <w:sz w:val="22"/>
              </w:rPr>
            </w:pPr>
            <w:r>
              <w:rPr>
                <w:sz w:val="22"/>
              </w:rPr>
              <w:t>Comments</w:t>
            </w:r>
          </w:p>
        </w:tc>
      </w:tr>
      <w:tr w:rsidR="00F37EE2" w:rsidTr="00B36B6B">
        <w:tc>
          <w:tcPr>
            <w:tcW w:w="1440" w:type="dxa"/>
          </w:tcPr>
          <w:p w:rsidR="00F37EE2" w:rsidRDefault="00F37EE2">
            <w:pPr>
              <w:pStyle w:val="Heading1"/>
              <w:rPr>
                <w:sz w:val="22"/>
              </w:rPr>
            </w:pPr>
            <w:r>
              <w:rPr>
                <w:sz w:val="22"/>
              </w:rPr>
              <w:t>Learning Objectives</w:t>
            </w:r>
          </w:p>
        </w:tc>
        <w:tc>
          <w:tcPr>
            <w:tcW w:w="1980" w:type="dxa"/>
          </w:tcPr>
          <w:p w:rsidR="00FE17C6" w:rsidRDefault="00415269" w:rsidP="00CF1149">
            <w:pPr>
              <w:rPr>
                <w:sz w:val="22"/>
              </w:rPr>
            </w:pPr>
            <w:r>
              <w:rPr>
                <w:sz w:val="22"/>
              </w:rPr>
              <w:t>Level 3</w:t>
            </w:r>
            <w:r w:rsidR="0041378C">
              <w:rPr>
                <w:sz w:val="22"/>
              </w:rPr>
              <w:t>—</w:t>
            </w:r>
            <w:r>
              <w:rPr>
                <w:sz w:val="22"/>
              </w:rPr>
              <w:t xml:space="preserve">B.S.,  </w:t>
            </w:r>
            <w:r w:rsidR="00CF1149">
              <w:rPr>
                <w:sz w:val="22"/>
              </w:rPr>
              <w:t>Kinesiology &amp; Sports Studies</w:t>
            </w:r>
            <w:r>
              <w:rPr>
                <w:sz w:val="22"/>
              </w:rPr>
              <w:t>, Exercise Science</w:t>
            </w:r>
          </w:p>
        </w:tc>
        <w:tc>
          <w:tcPr>
            <w:tcW w:w="6300" w:type="dxa"/>
          </w:tcPr>
          <w:p w:rsidR="00FE17C6" w:rsidRDefault="00415269" w:rsidP="00304881">
            <w:pPr>
              <w:rPr>
                <w:sz w:val="22"/>
              </w:rPr>
            </w:pPr>
            <w:r>
              <w:rPr>
                <w:sz w:val="22"/>
              </w:rPr>
              <w:t xml:space="preserve">Objectives are clear and measurable.  </w:t>
            </w:r>
            <w:r w:rsidR="00304881">
              <w:rPr>
                <w:sz w:val="22"/>
              </w:rPr>
              <w:t>Three</w:t>
            </w:r>
            <w:r w:rsidR="00FE249B">
              <w:rPr>
                <w:sz w:val="22"/>
              </w:rPr>
              <w:t xml:space="preserve"> of the five undergraduate learning goals have been adopted by the program:  speaking, writing, </w:t>
            </w:r>
            <w:r w:rsidR="00304881">
              <w:rPr>
                <w:sz w:val="22"/>
              </w:rPr>
              <w:t xml:space="preserve">and </w:t>
            </w:r>
            <w:r w:rsidR="00FE249B">
              <w:rPr>
                <w:sz w:val="22"/>
              </w:rPr>
              <w:t xml:space="preserve">critical thinking.  </w:t>
            </w:r>
            <w:r w:rsidR="00304881">
              <w:rPr>
                <w:sz w:val="22"/>
              </w:rPr>
              <w:t>Are there places where you could assess quantitative reasoning and responsible citizenship?  CASL is hoping that each of the undergraduate learning goals will be adopted by major programs.</w:t>
            </w:r>
          </w:p>
        </w:tc>
      </w:tr>
      <w:tr w:rsidR="00F37EE2" w:rsidTr="00B36B6B">
        <w:trPr>
          <w:trHeight w:val="1430"/>
        </w:trPr>
        <w:tc>
          <w:tcPr>
            <w:tcW w:w="1440" w:type="dxa"/>
          </w:tcPr>
          <w:p w:rsidR="00F37EE2" w:rsidRDefault="00F37EE2">
            <w:pPr>
              <w:rPr>
                <w:b/>
                <w:bCs/>
                <w:sz w:val="22"/>
              </w:rPr>
            </w:pPr>
            <w:r>
              <w:rPr>
                <w:b/>
                <w:bCs/>
                <w:sz w:val="22"/>
              </w:rPr>
              <w:t>How, Where, and When Assessed</w:t>
            </w:r>
          </w:p>
        </w:tc>
        <w:tc>
          <w:tcPr>
            <w:tcW w:w="1980" w:type="dxa"/>
          </w:tcPr>
          <w:p w:rsidR="00FE17C6" w:rsidRDefault="00415269">
            <w:pPr>
              <w:rPr>
                <w:sz w:val="22"/>
              </w:rPr>
            </w:pPr>
            <w:r>
              <w:rPr>
                <w:sz w:val="22"/>
              </w:rPr>
              <w:t xml:space="preserve">Level </w:t>
            </w:r>
            <w:r w:rsidR="00740238">
              <w:rPr>
                <w:sz w:val="22"/>
              </w:rPr>
              <w:t>2</w:t>
            </w:r>
            <w:r w:rsidR="0041378C">
              <w:rPr>
                <w:sz w:val="22"/>
              </w:rPr>
              <w:t>—</w:t>
            </w:r>
            <w:r>
              <w:rPr>
                <w:sz w:val="22"/>
              </w:rPr>
              <w:t xml:space="preserve">B.S.,  </w:t>
            </w:r>
            <w:r w:rsidR="00CF1149">
              <w:rPr>
                <w:sz w:val="22"/>
              </w:rPr>
              <w:t>Kinesiology &amp; Sports Studies, Exercise Science</w:t>
            </w:r>
          </w:p>
        </w:tc>
        <w:tc>
          <w:tcPr>
            <w:tcW w:w="6300" w:type="dxa"/>
          </w:tcPr>
          <w:p w:rsidR="00F37EE2" w:rsidRDefault="00304881" w:rsidP="00AB3166">
            <w:pPr>
              <w:rPr>
                <w:sz w:val="22"/>
              </w:rPr>
            </w:pPr>
            <w:r>
              <w:rPr>
                <w:sz w:val="22"/>
              </w:rPr>
              <w:t>You have spread assessment activities across the curriculum</w:t>
            </w:r>
            <w:r w:rsidR="00050207">
              <w:rPr>
                <w:sz w:val="22"/>
              </w:rPr>
              <w:t xml:space="preserve"> with different levels of courses and the internship as sites for collection, so that is a very good practice.  </w:t>
            </w:r>
            <w:r w:rsidR="003A680B">
              <w:rPr>
                <w:sz w:val="22"/>
              </w:rPr>
              <w:t>Are you gathering any indirect assessment data, such as surveys or focus groups?  This kind of information can help round out the picture of student learning in a program.</w:t>
            </w:r>
            <w:r w:rsidR="00D61C8D">
              <w:rPr>
                <w:sz w:val="22"/>
              </w:rPr>
              <w:t xml:space="preserve">   </w:t>
            </w:r>
            <w:r w:rsidR="00D61C8D">
              <w:rPr>
                <w:sz w:val="22"/>
              </w:rPr>
              <w:t>AY17 was the last year for which Watson-Glaser data will be available, so you will need to consider a new measure for critical thinking this coming year.</w:t>
            </w:r>
          </w:p>
        </w:tc>
      </w:tr>
      <w:tr w:rsidR="00F37EE2" w:rsidTr="00B36B6B">
        <w:tc>
          <w:tcPr>
            <w:tcW w:w="1440" w:type="dxa"/>
          </w:tcPr>
          <w:p w:rsidR="00F37EE2" w:rsidRDefault="00F37EE2">
            <w:pPr>
              <w:rPr>
                <w:b/>
                <w:bCs/>
                <w:sz w:val="22"/>
              </w:rPr>
            </w:pPr>
            <w:r>
              <w:rPr>
                <w:b/>
                <w:bCs/>
                <w:sz w:val="22"/>
              </w:rPr>
              <w:t>Expectations</w:t>
            </w:r>
          </w:p>
        </w:tc>
        <w:tc>
          <w:tcPr>
            <w:tcW w:w="1980" w:type="dxa"/>
          </w:tcPr>
          <w:p w:rsidR="00FE17C6" w:rsidRDefault="00415269">
            <w:pPr>
              <w:rPr>
                <w:sz w:val="22"/>
              </w:rPr>
            </w:pPr>
            <w:r>
              <w:rPr>
                <w:sz w:val="22"/>
              </w:rPr>
              <w:t xml:space="preserve">Level </w:t>
            </w:r>
            <w:r w:rsidR="00592C18">
              <w:rPr>
                <w:sz w:val="22"/>
              </w:rPr>
              <w:t>3</w:t>
            </w:r>
            <w:r w:rsidR="0041378C">
              <w:rPr>
                <w:sz w:val="22"/>
              </w:rPr>
              <w:t>—</w:t>
            </w:r>
            <w:r>
              <w:rPr>
                <w:sz w:val="22"/>
              </w:rPr>
              <w:t xml:space="preserve">B.S.,  </w:t>
            </w:r>
            <w:r w:rsidR="00CF1149">
              <w:rPr>
                <w:sz w:val="22"/>
              </w:rPr>
              <w:t>Kinesiology &amp; Sports Studies, Exercise Science</w:t>
            </w:r>
          </w:p>
        </w:tc>
        <w:tc>
          <w:tcPr>
            <w:tcW w:w="6300" w:type="dxa"/>
          </w:tcPr>
          <w:p w:rsidR="00CD47AD" w:rsidRDefault="00592C18" w:rsidP="00AB3166">
            <w:pPr>
              <w:rPr>
                <w:sz w:val="22"/>
              </w:rPr>
            </w:pPr>
            <w:r>
              <w:rPr>
                <w:sz w:val="22"/>
              </w:rPr>
              <w:t xml:space="preserve">Expectations have been established for the measures listed, and you are tracking student attainment of the established levels.  </w:t>
            </w:r>
            <w:r w:rsidR="0058038A">
              <w:rPr>
                <w:sz w:val="22"/>
              </w:rPr>
              <w:t>Are you sharing expectations with students?  Letting students know at the beginning of key courses what you expect from them as majors may be helpful in ascertaining that the</w:t>
            </w:r>
            <w:r w:rsidR="007155DA">
              <w:rPr>
                <w:sz w:val="22"/>
              </w:rPr>
              <w:t>y</w:t>
            </w:r>
            <w:r w:rsidR="0058038A">
              <w:rPr>
                <w:sz w:val="22"/>
              </w:rPr>
              <w:t xml:space="preserve"> reach those levels.</w:t>
            </w:r>
            <w:r w:rsidR="00050207">
              <w:rPr>
                <w:sz w:val="22"/>
              </w:rPr>
              <w:t xml:space="preserve">  </w:t>
            </w:r>
            <w:r w:rsidR="00AB3166">
              <w:rPr>
                <w:sz w:val="22"/>
              </w:rPr>
              <w:t>You have expectations established with an increase in the number of students meeting the expectation as they move from sophomore to junior to senior level, so that makes sense.</w:t>
            </w:r>
          </w:p>
        </w:tc>
      </w:tr>
      <w:tr w:rsidR="00F37EE2" w:rsidTr="00B36B6B">
        <w:tc>
          <w:tcPr>
            <w:tcW w:w="1440" w:type="dxa"/>
          </w:tcPr>
          <w:p w:rsidR="00F37EE2" w:rsidRDefault="00F37EE2">
            <w:pPr>
              <w:rPr>
                <w:b/>
                <w:bCs/>
                <w:sz w:val="22"/>
              </w:rPr>
            </w:pPr>
          </w:p>
          <w:p w:rsidR="00F37EE2" w:rsidRDefault="00F37EE2">
            <w:pPr>
              <w:rPr>
                <w:b/>
                <w:bCs/>
                <w:sz w:val="22"/>
              </w:rPr>
            </w:pPr>
            <w:r>
              <w:rPr>
                <w:b/>
                <w:bCs/>
                <w:sz w:val="22"/>
              </w:rPr>
              <w:t>Results</w:t>
            </w:r>
          </w:p>
          <w:p w:rsidR="00842AC1" w:rsidRDefault="00842AC1" w:rsidP="00415269">
            <w:pPr>
              <w:rPr>
                <w:b/>
                <w:bCs/>
                <w:sz w:val="22"/>
              </w:rPr>
            </w:pPr>
          </w:p>
        </w:tc>
        <w:tc>
          <w:tcPr>
            <w:tcW w:w="1980" w:type="dxa"/>
          </w:tcPr>
          <w:p w:rsidR="00FE17C6" w:rsidRDefault="00415269">
            <w:pPr>
              <w:rPr>
                <w:sz w:val="22"/>
              </w:rPr>
            </w:pPr>
            <w:r>
              <w:rPr>
                <w:sz w:val="22"/>
              </w:rPr>
              <w:t xml:space="preserve">Level </w:t>
            </w:r>
            <w:r w:rsidR="00AB3166">
              <w:rPr>
                <w:sz w:val="22"/>
              </w:rPr>
              <w:t>2-3—</w:t>
            </w:r>
            <w:r>
              <w:rPr>
                <w:sz w:val="22"/>
              </w:rPr>
              <w:t>B.S.,</w:t>
            </w:r>
            <w:r w:rsidR="00AB3166">
              <w:rPr>
                <w:sz w:val="22"/>
              </w:rPr>
              <w:t xml:space="preserve"> </w:t>
            </w:r>
            <w:r>
              <w:rPr>
                <w:sz w:val="22"/>
              </w:rPr>
              <w:t xml:space="preserve">  </w:t>
            </w:r>
            <w:r w:rsidR="00CF1149">
              <w:rPr>
                <w:sz w:val="22"/>
              </w:rPr>
              <w:t>Kinesiology &amp; Sports Studies, Exercise Science</w:t>
            </w:r>
          </w:p>
        </w:tc>
        <w:tc>
          <w:tcPr>
            <w:tcW w:w="6300" w:type="dxa"/>
          </w:tcPr>
          <w:p w:rsidR="00FE17C6" w:rsidRDefault="00327E30" w:rsidP="00AB3166">
            <w:pPr>
              <w:rPr>
                <w:sz w:val="22"/>
              </w:rPr>
            </w:pPr>
            <w:r>
              <w:rPr>
                <w:sz w:val="22"/>
              </w:rPr>
              <w:t>Data are colle</w:t>
            </w:r>
            <w:r w:rsidR="008363D5">
              <w:rPr>
                <w:sz w:val="22"/>
              </w:rPr>
              <w:t>c</w:t>
            </w:r>
            <w:r>
              <w:rPr>
                <w:sz w:val="22"/>
              </w:rPr>
              <w:t>ted for the majority of measures listed</w:t>
            </w:r>
            <w:r w:rsidR="00537265">
              <w:rPr>
                <w:sz w:val="22"/>
              </w:rPr>
              <w:t xml:space="preserve"> and are analyzed.  </w:t>
            </w:r>
          </w:p>
        </w:tc>
      </w:tr>
      <w:tr w:rsidR="00F37EE2" w:rsidTr="00B36B6B">
        <w:tc>
          <w:tcPr>
            <w:tcW w:w="1440" w:type="dxa"/>
          </w:tcPr>
          <w:p w:rsidR="00F37EE2" w:rsidRDefault="00F37EE2">
            <w:pPr>
              <w:rPr>
                <w:b/>
                <w:bCs/>
                <w:sz w:val="22"/>
              </w:rPr>
            </w:pPr>
            <w:r>
              <w:rPr>
                <w:b/>
                <w:bCs/>
                <w:sz w:val="22"/>
              </w:rPr>
              <w:t>How Results Will be Used</w:t>
            </w:r>
          </w:p>
        </w:tc>
        <w:tc>
          <w:tcPr>
            <w:tcW w:w="1980" w:type="dxa"/>
          </w:tcPr>
          <w:p w:rsidR="00F37EE2" w:rsidRDefault="00415269">
            <w:pPr>
              <w:rPr>
                <w:sz w:val="22"/>
              </w:rPr>
            </w:pPr>
            <w:r>
              <w:rPr>
                <w:sz w:val="22"/>
              </w:rPr>
              <w:t xml:space="preserve">Level </w:t>
            </w:r>
            <w:r w:rsidR="00F264EC">
              <w:rPr>
                <w:sz w:val="22"/>
              </w:rPr>
              <w:t>2</w:t>
            </w:r>
            <w:r w:rsidR="00CB2E20">
              <w:rPr>
                <w:sz w:val="22"/>
              </w:rPr>
              <w:t>-3</w:t>
            </w:r>
            <w:r w:rsidR="0041378C">
              <w:rPr>
                <w:sz w:val="22"/>
              </w:rPr>
              <w:t>—</w:t>
            </w:r>
            <w:r>
              <w:rPr>
                <w:sz w:val="22"/>
              </w:rPr>
              <w:t xml:space="preserve">B.S.,  </w:t>
            </w:r>
            <w:r w:rsidR="00CF1149">
              <w:rPr>
                <w:sz w:val="22"/>
              </w:rPr>
              <w:t>Kinesiology &amp; Sports Studies, Exercise Science</w:t>
            </w:r>
          </w:p>
        </w:tc>
        <w:tc>
          <w:tcPr>
            <w:tcW w:w="6300" w:type="dxa"/>
          </w:tcPr>
          <w:p w:rsidR="00710CDF" w:rsidRDefault="00BE1E0E" w:rsidP="00AB3166">
            <w:pPr>
              <w:rPr>
                <w:sz w:val="22"/>
              </w:rPr>
            </w:pPr>
            <w:r>
              <w:rPr>
                <w:sz w:val="22"/>
              </w:rPr>
              <w:t xml:space="preserve">Feedback loop appears to be in place and involves all </w:t>
            </w:r>
            <w:proofErr w:type="gramStart"/>
            <w:r>
              <w:rPr>
                <w:sz w:val="22"/>
              </w:rPr>
              <w:t>faculty</w:t>
            </w:r>
            <w:proofErr w:type="gramEnd"/>
            <w:r>
              <w:rPr>
                <w:sz w:val="22"/>
              </w:rPr>
              <w:t xml:space="preserve"> through the department meetings</w:t>
            </w:r>
            <w:r w:rsidR="003A680B">
              <w:rPr>
                <w:sz w:val="22"/>
              </w:rPr>
              <w:t xml:space="preserve">.  </w:t>
            </w:r>
            <w:bookmarkStart w:id="0" w:name="_GoBack"/>
            <w:bookmarkEnd w:id="0"/>
          </w:p>
        </w:tc>
      </w:tr>
    </w:tbl>
    <w:p w:rsidR="00716091" w:rsidRDefault="00716091" w:rsidP="008363D5"/>
    <w:sectPr w:rsidR="00716091" w:rsidSect="008363D5">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1C" w:rsidRDefault="001B311C">
      <w:r>
        <w:separator/>
      </w:r>
    </w:p>
  </w:endnote>
  <w:endnote w:type="continuationSeparator" w:id="0">
    <w:p w:rsidR="001B311C" w:rsidRDefault="001B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1C" w:rsidRDefault="001B311C">
      <w:r>
        <w:separator/>
      </w:r>
    </w:p>
  </w:footnote>
  <w:footnote w:type="continuationSeparator" w:id="0">
    <w:p w:rsidR="001B311C" w:rsidRDefault="001B311C">
      <w:r>
        <w:continuationSeparator/>
      </w:r>
    </w:p>
  </w:footnote>
  <w:footnote w:id="1">
    <w:p w:rsidR="00136C1B" w:rsidRDefault="00136C1B">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B4"/>
    <w:rsid w:val="00000A7E"/>
    <w:rsid w:val="00050207"/>
    <w:rsid w:val="00061B5E"/>
    <w:rsid w:val="000A53E7"/>
    <w:rsid w:val="000B2239"/>
    <w:rsid w:val="000E315E"/>
    <w:rsid w:val="00102021"/>
    <w:rsid w:val="00136C1B"/>
    <w:rsid w:val="00176B24"/>
    <w:rsid w:val="001B311C"/>
    <w:rsid w:val="001C2B2A"/>
    <w:rsid w:val="001E7306"/>
    <w:rsid w:val="001F01A2"/>
    <w:rsid w:val="002018FE"/>
    <w:rsid w:val="00206A69"/>
    <w:rsid w:val="00216926"/>
    <w:rsid w:val="00273E1F"/>
    <w:rsid w:val="0028598C"/>
    <w:rsid w:val="002A6B1C"/>
    <w:rsid w:val="002B2DE3"/>
    <w:rsid w:val="002C1363"/>
    <w:rsid w:val="002D4B16"/>
    <w:rsid w:val="00304881"/>
    <w:rsid w:val="00327E30"/>
    <w:rsid w:val="0037471E"/>
    <w:rsid w:val="00393FD8"/>
    <w:rsid w:val="00395A4A"/>
    <w:rsid w:val="003A680B"/>
    <w:rsid w:val="003D23AA"/>
    <w:rsid w:val="003F3E2B"/>
    <w:rsid w:val="0041378C"/>
    <w:rsid w:val="00415269"/>
    <w:rsid w:val="00457A6A"/>
    <w:rsid w:val="004B046E"/>
    <w:rsid w:val="004B467D"/>
    <w:rsid w:val="004F1A3E"/>
    <w:rsid w:val="004F2118"/>
    <w:rsid w:val="00523B81"/>
    <w:rsid w:val="00537265"/>
    <w:rsid w:val="00563E28"/>
    <w:rsid w:val="00575BD6"/>
    <w:rsid w:val="0058038A"/>
    <w:rsid w:val="00592C18"/>
    <w:rsid w:val="005D4A73"/>
    <w:rsid w:val="005D7AFA"/>
    <w:rsid w:val="005F698C"/>
    <w:rsid w:val="00624C38"/>
    <w:rsid w:val="006310AA"/>
    <w:rsid w:val="006771A3"/>
    <w:rsid w:val="00680E95"/>
    <w:rsid w:val="006D64AC"/>
    <w:rsid w:val="00710CDF"/>
    <w:rsid w:val="007155DA"/>
    <w:rsid w:val="00716091"/>
    <w:rsid w:val="00740238"/>
    <w:rsid w:val="00742FFD"/>
    <w:rsid w:val="007811B4"/>
    <w:rsid w:val="007F4DA3"/>
    <w:rsid w:val="00802AB4"/>
    <w:rsid w:val="008320A5"/>
    <w:rsid w:val="00835BF6"/>
    <w:rsid w:val="008363D5"/>
    <w:rsid w:val="00842AC1"/>
    <w:rsid w:val="00852612"/>
    <w:rsid w:val="00863819"/>
    <w:rsid w:val="008643B2"/>
    <w:rsid w:val="008B62DA"/>
    <w:rsid w:val="008D31F7"/>
    <w:rsid w:val="008D5BCC"/>
    <w:rsid w:val="009332C7"/>
    <w:rsid w:val="009927DD"/>
    <w:rsid w:val="00993777"/>
    <w:rsid w:val="00A05EC5"/>
    <w:rsid w:val="00A93015"/>
    <w:rsid w:val="00AB3166"/>
    <w:rsid w:val="00AD370F"/>
    <w:rsid w:val="00AE4742"/>
    <w:rsid w:val="00B0620E"/>
    <w:rsid w:val="00B36B6B"/>
    <w:rsid w:val="00B44317"/>
    <w:rsid w:val="00B80D8D"/>
    <w:rsid w:val="00B815D8"/>
    <w:rsid w:val="00B8695C"/>
    <w:rsid w:val="00B90A64"/>
    <w:rsid w:val="00BB7E12"/>
    <w:rsid w:val="00BE1E0E"/>
    <w:rsid w:val="00C15649"/>
    <w:rsid w:val="00C16F99"/>
    <w:rsid w:val="00C22D6D"/>
    <w:rsid w:val="00C3517A"/>
    <w:rsid w:val="00C37637"/>
    <w:rsid w:val="00C45FE3"/>
    <w:rsid w:val="00CA375E"/>
    <w:rsid w:val="00CB2E20"/>
    <w:rsid w:val="00CB569E"/>
    <w:rsid w:val="00CB7FC0"/>
    <w:rsid w:val="00CD47AD"/>
    <w:rsid w:val="00CF1149"/>
    <w:rsid w:val="00D1034E"/>
    <w:rsid w:val="00D16267"/>
    <w:rsid w:val="00D60BA0"/>
    <w:rsid w:val="00D61C8D"/>
    <w:rsid w:val="00D742E2"/>
    <w:rsid w:val="00D76BA8"/>
    <w:rsid w:val="00D93ACE"/>
    <w:rsid w:val="00DA1915"/>
    <w:rsid w:val="00DF46B5"/>
    <w:rsid w:val="00DF47CA"/>
    <w:rsid w:val="00DF640F"/>
    <w:rsid w:val="00E0248E"/>
    <w:rsid w:val="00E10F7C"/>
    <w:rsid w:val="00E242CA"/>
    <w:rsid w:val="00E610C5"/>
    <w:rsid w:val="00E71CEE"/>
    <w:rsid w:val="00E777A5"/>
    <w:rsid w:val="00E8353A"/>
    <w:rsid w:val="00EB06F7"/>
    <w:rsid w:val="00F06326"/>
    <w:rsid w:val="00F264EC"/>
    <w:rsid w:val="00F37EE2"/>
    <w:rsid w:val="00F64197"/>
    <w:rsid w:val="00F7070B"/>
    <w:rsid w:val="00F80B7A"/>
    <w:rsid w:val="00F87AAB"/>
    <w:rsid w:val="00FA3A09"/>
    <w:rsid w:val="00FB43CB"/>
    <w:rsid w:val="00FD4B8F"/>
    <w:rsid w:val="00FE17C6"/>
    <w:rsid w:val="00FE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306"/>
    <w:rPr>
      <w:sz w:val="24"/>
      <w:szCs w:val="24"/>
    </w:rPr>
  </w:style>
  <w:style w:type="paragraph" w:styleId="Heading1">
    <w:name w:val="heading 1"/>
    <w:basedOn w:val="Normal"/>
    <w:next w:val="Normal"/>
    <w:qFormat/>
    <w:rsid w:val="001E7306"/>
    <w:pPr>
      <w:keepNext/>
      <w:outlineLvl w:val="0"/>
    </w:pPr>
    <w:rPr>
      <w:b/>
      <w:bCs/>
    </w:rPr>
  </w:style>
  <w:style w:type="paragraph" w:styleId="Heading2">
    <w:name w:val="heading 2"/>
    <w:basedOn w:val="Normal"/>
    <w:next w:val="Normal"/>
    <w:qFormat/>
    <w:rsid w:val="001E730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7306"/>
    <w:rPr>
      <w:sz w:val="22"/>
    </w:rPr>
  </w:style>
  <w:style w:type="paragraph" w:styleId="FootnoteText">
    <w:name w:val="footnote text"/>
    <w:basedOn w:val="Normal"/>
    <w:semiHidden/>
    <w:rsid w:val="001E7306"/>
    <w:rPr>
      <w:sz w:val="20"/>
      <w:szCs w:val="20"/>
    </w:rPr>
  </w:style>
  <w:style w:type="character" w:styleId="FootnoteReference">
    <w:name w:val="footnote reference"/>
    <w:basedOn w:val="DefaultParagraphFont"/>
    <w:semiHidden/>
    <w:rsid w:val="001E7306"/>
    <w:rPr>
      <w:vertAlign w:val="superscript"/>
    </w:rPr>
  </w:style>
  <w:style w:type="character" w:styleId="Hyperlink">
    <w:name w:val="Hyperlink"/>
    <w:basedOn w:val="DefaultParagraphFont"/>
    <w:rsid w:val="005D7AFA"/>
    <w:rPr>
      <w:color w:val="0000FF"/>
      <w:u w:val="single"/>
    </w:rPr>
  </w:style>
  <w:style w:type="paragraph" w:styleId="BalloonText">
    <w:name w:val="Balloon Text"/>
    <w:basedOn w:val="Normal"/>
    <w:semiHidden/>
    <w:rsid w:val="00136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306"/>
    <w:rPr>
      <w:sz w:val="24"/>
      <w:szCs w:val="24"/>
    </w:rPr>
  </w:style>
  <w:style w:type="paragraph" w:styleId="Heading1">
    <w:name w:val="heading 1"/>
    <w:basedOn w:val="Normal"/>
    <w:next w:val="Normal"/>
    <w:qFormat/>
    <w:rsid w:val="001E7306"/>
    <w:pPr>
      <w:keepNext/>
      <w:outlineLvl w:val="0"/>
    </w:pPr>
    <w:rPr>
      <w:b/>
      <w:bCs/>
    </w:rPr>
  </w:style>
  <w:style w:type="paragraph" w:styleId="Heading2">
    <w:name w:val="heading 2"/>
    <w:basedOn w:val="Normal"/>
    <w:next w:val="Normal"/>
    <w:qFormat/>
    <w:rsid w:val="001E730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7306"/>
    <w:rPr>
      <w:sz w:val="22"/>
    </w:rPr>
  </w:style>
  <w:style w:type="paragraph" w:styleId="FootnoteText">
    <w:name w:val="footnote text"/>
    <w:basedOn w:val="Normal"/>
    <w:semiHidden/>
    <w:rsid w:val="001E7306"/>
    <w:rPr>
      <w:sz w:val="20"/>
      <w:szCs w:val="20"/>
    </w:rPr>
  </w:style>
  <w:style w:type="character" w:styleId="FootnoteReference">
    <w:name w:val="footnote reference"/>
    <w:basedOn w:val="DefaultParagraphFont"/>
    <w:semiHidden/>
    <w:rsid w:val="001E7306"/>
    <w:rPr>
      <w:vertAlign w:val="superscript"/>
    </w:rPr>
  </w:style>
  <w:style w:type="character" w:styleId="Hyperlink">
    <w:name w:val="Hyperlink"/>
    <w:basedOn w:val="DefaultParagraphFont"/>
    <w:rsid w:val="005D7AFA"/>
    <w:rPr>
      <w:color w:val="0000FF"/>
      <w:u w:val="single"/>
    </w:rPr>
  </w:style>
  <w:style w:type="paragraph" w:styleId="BalloonText">
    <w:name w:val="Balloon Text"/>
    <w:basedOn w:val="Normal"/>
    <w:semiHidden/>
    <w:rsid w:val="00136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2009-06-18T16:39:00Z</cp:lastPrinted>
  <dcterms:created xsi:type="dcterms:W3CDTF">2017-07-26T17:58:00Z</dcterms:created>
  <dcterms:modified xsi:type="dcterms:W3CDTF">2017-07-26T18:27:00Z</dcterms:modified>
</cp:coreProperties>
</file>