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F8DE" w14:textId="77777777" w:rsidR="00FF1CC0" w:rsidRDefault="007425B1">
      <w:pPr>
        <w:pStyle w:val="Title"/>
      </w:pPr>
      <w:bookmarkStart w:id="0" w:name="Retirement_&amp;_Investment_Plans"/>
      <w:bookmarkEnd w:id="0"/>
      <w:r>
        <w:t>Retirement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Plans</w:t>
      </w:r>
    </w:p>
    <w:p w14:paraId="32DE49F8" w14:textId="0ACD51C8" w:rsidR="00FF1CC0" w:rsidRDefault="007425B1">
      <w:pPr>
        <w:spacing w:before="281"/>
        <w:ind w:left="120"/>
        <w:rPr>
          <w:b/>
          <w:sz w:val="28"/>
        </w:rPr>
      </w:pPr>
      <w:bookmarkStart w:id="1" w:name="403(b)_Universal_Availability_Notice_202"/>
      <w:bookmarkEnd w:id="1"/>
      <w:r>
        <w:rPr>
          <w:b/>
          <w:sz w:val="28"/>
        </w:rPr>
        <w:t>403(b)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Universal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Availability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Notice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202</w:t>
      </w:r>
      <w:r w:rsidR="00616608">
        <w:rPr>
          <w:b/>
          <w:sz w:val="28"/>
        </w:rPr>
        <w:t>3</w:t>
      </w:r>
    </w:p>
    <w:p w14:paraId="14C88976" w14:textId="77777777" w:rsidR="00FF1CC0" w:rsidRDefault="00FF1CC0">
      <w:pPr>
        <w:pStyle w:val="BodyText"/>
        <w:spacing w:before="8"/>
        <w:rPr>
          <w:b/>
          <w:sz w:val="24"/>
        </w:rPr>
      </w:pPr>
    </w:p>
    <w:p w14:paraId="6C4E2997" w14:textId="77777777" w:rsidR="00FF1CC0" w:rsidRDefault="007425B1">
      <w:pPr>
        <w:pStyle w:val="BodyText"/>
        <w:ind w:left="119" w:right="148"/>
      </w:pPr>
      <w:r>
        <w:t>Eastern Illinois University (the "University") sponsors the Supplemental 403(b) Retirement Plan (the</w:t>
      </w:r>
      <w:r>
        <w:rPr>
          <w:spacing w:val="1"/>
        </w:rPr>
        <w:t xml:space="preserve"> </w:t>
      </w:r>
      <w:r>
        <w:t>"Plan").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employees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voluntarily</w:t>
      </w:r>
      <w:r>
        <w:rPr>
          <w:spacing w:val="-6"/>
        </w:rPr>
        <w:t xml:space="preserve"> </w:t>
      </w:r>
      <w:r>
        <w:t>elect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defer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compensation</w:t>
      </w:r>
      <w:r>
        <w:rPr>
          <w:spacing w:val="-5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supplement</w:t>
      </w:r>
      <w:r>
        <w:rPr>
          <w:spacing w:val="-2"/>
        </w:rPr>
        <w:t xml:space="preserve"> </w:t>
      </w:r>
      <w:r>
        <w:t>their retirement</w:t>
      </w:r>
      <w:r>
        <w:rPr>
          <w:spacing w:val="-1"/>
        </w:rPr>
        <w:t xml:space="preserve"> </w:t>
      </w:r>
      <w:r>
        <w:t>savings.</w:t>
      </w:r>
    </w:p>
    <w:p w14:paraId="0D9E68C4" w14:textId="77777777" w:rsidR="00FF1CC0" w:rsidRDefault="00FF1CC0">
      <w:pPr>
        <w:pStyle w:val="BodyText"/>
        <w:spacing w:before="3"/>
        <w:rPr>
          <w:sz w:val="24"/>
        </w:rPr>
      </w:pPr>
    </w:p>
    <w:p w14:paraId="1125D1B1" w14:textId="77777777" w:rsidR="00FF1CC0" w:rsidRDefault="007425B1">
      <w:pPr>
        <w:pStyle w:val="BodyText"/>
        <w:spacing w:before="1"/>
        <w:ind w:left="119" w:right="148"/>
      </w:pPr>
      <w:r>
        <w:t>The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supplement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Universities</w:t>
      </w:r>
      <w:r>
        <w:rPr>
          <w:spacing w:val="-3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(SURS)</w:t>
      </w:r>
      <w:r>
        <w:rPr>
          <w:spacing w:val="-1"/>
        </w:rPr>
        <w:t xml:space="preserve"> </w:t>
      </w:r>
      <w:r>
        <w:t>pension.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the Plan does not reduce any University benefits based on full salary, such as SURS, life insurance,</w:t>
      </w:r>
      <w:r>
        <w:rPr>
          <w:spacing w:val="1"/>
        </w:rPr>
        <w:t xml:space="preserve"> </w:t>
      </w:r>
      <w:r>
        <w:t>disability,</w:t>
      </w:r>
      <w:r>
        <w:rPr>
          <w:spacing w:val="-2"/>
        </w:rPr>
        <w:t xml:space="preserve"> </w:t>
      </w:r>
      <w:r>
        <w:t>or survivor benefits.</w:t>
      </w:r>
    </w:p>
    <w:p w14:paraId="72EA2666" w14:textId="77777777" w:rsidR="00FF1CC0" w:rsidRDefault="00FF1CC0">
      <w:pPr>
        <w:pStyle w:val="BodyText"/>
        <w:spacing w:before="1"/>
        <w:rPr>
          <w:sz w:val="24"/>
        </w:rPr>
      </w:pPr>
    </w:p>
    <w:p w14:paraId="1BD0129D" w14:textId="77777777" w:rsidR="00FF1CC0" w:rsidRDefault="007425B1">
      <w:pPr>
        <w:pStyle w:val="Heading1"/>
        <w:ind w:left="119"/>
      </w:pPr>
      <w:bookmarkStart w:id="2" w:name="Eligibility"/>
      <w:bookmarkEnd w:id="2"/>
      <w:r>
        <w:t>Eligibility</w:t>
      </w:r>
    </w:p>
    <w:p w14:paraId="1866D8BF" w14:textId="77777777" w:rsidR="00FF1CC0" w:rsidRDefault="00FF1CC0">
      <w:pPr>
        <w:pStyle w:val="BodyText"/>
        <w:spacing w:before="6"/>
        <w:rPr>
          <w:b/>
          <w:sz w:val="24"/>
        </w:rPr>
      </w:pPr>
    </w:p>
    <w:p w14:paraId="3C95C458" w14:textId="77777777" w:rsidR="00FF1CC0" w:rsidRDefault="007425B1">
      <w:pPr>
        <w:pStyle w:val="BodyText"/>
        <w:ind w:left="119" w:right="148"/>
      </w:pPr>
      <w:r>
        <w:t>Generally, all common law employees of the University who receive compensation reportable on a Form</w:t>
      </w:r>
      <w:r>
        <w:rPr>
          <w:spacing w:val="1"/>
        </w:rPr>
        <w:t xml:space="preserve"> </w:t>
      </w:r>
      <w:r>
        <w:t>W-2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Plan,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elects</w:t>
      </w:r>
      <w:r>
        <w:rPr>
          <w:spacing w:val="-2"/>
        </w:rPr>
        <w:t xml:space="preserve"> </w:t>
      </w:r>
      <w:r>
        <w:t>to contribute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 $200</w:t>
      </w:r>
      <w:r>
        <w:rPr>
          <w:spacing w:val="-3"/>
        </w:rPr>
        <w:t xml:space="preserve"> </w:t>
      </w:r>
      <w:r>
        <w:t>each</w:t>
      </w:r>
      <w:r>
        <w:rPr>
          <w:spacing w:val="-52"/>
        </w:rPr>
        <w:t xml:space="preserve"> </w:t>
      </w:r>
      <w:r>
        <w:t>year. The only employees not eligible to participate in the Plan are non-resident aliens with no U.S.</w:t>
      </w:r>
      <w:r>
        <w:rPr>
          <w:spacing w:val="1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income.</w:t>
      </w:r>
    </w:p>
    <w:p w14:paraId="589A3D35" w14:textId="77777777" w:rsidR="00FF1CC0" w:rsidRDefault="00FF1CC0">
      <w:pPr>
        <w:pStyle w:val="BodyText"/>
        <w:spacing w:before="2"/>
        <w:rPr>
          <w:sz w:val="24"/>
        </w:rPr>
      </w:pPr>
    </w:p>
    <w:p w14:paraId="302B00E8" w14:textId="77777777" w:rsidR="00FF1CC0" w:rsidRDefault="007425B1">
      <w:pPr>
        <w:pStyle w:val="Heading1"/>
      </w:pPr>
      <w:bookmarkStart w:id="3" w:name="Contributions"/>
      <w:bookmarkEnd w:id="3"/>
      <w:r>
        <w:t>Contributions</w:t>
      </w:r>
    </w:p>
    <w:p w14:paraId="7CCE9846" w14:textId="77777777" w:rsidR="00FF1CC0" w:rsidRDefault="00FF1CC0">
      <w:pPr>
        <w:pStyle w:val="BodyText"/>
        <w:spacing w:before="1"/>
        <w:rPr>
          <w:b/>
          <w:sz w:val="24"/>
        </w:rPr>
      </w:pPr>
    </w:p>
    <w:p w14:paraId="1CB4A706" w14:textId="77777777" w:rsidR="00FF1CC0" w:rsidRDefault="007425B1">
      <w:pPr>
        <w:pStyle w:val="BodyText"/>
        <w:ind w:left="119"/>
      </w:pPr>
      <w:r>
        <w:rPr>
          <w:b/>
        </w:rPr>
        <w:t xml:space="preserve">Pre-tax Contributions </w:t>
      </w:r>
      <w:r>
        <w:t>- Both Federal and State income taxes are deferred on the contributions and any</w:t>
      </w:r>
      <w:r>
        <w:rPr>
          <w:spacing w:val="1"/>
        </w:rPr>
        <w:t xml:space="preserve"> </w:t>
      </w:r>
      <w:r>
        <w:t>earnings</w:t>
      </w:r>
      <w:r>
        <w:rPr>
          <w:spacing w:val="-3"/>
        </w:rPr>
        <w:t xml:space="preserve"> </w:t>
      </w:r>
      <w:r>
        <w:t>thereon</w:t>
      </w:r>
      <w:r>
        <w:rPr>
          <w:spacing w:val="-2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distributed</w:t>
      </w:r>
      <w:r>
        <w:rPr>
          <w:spacing w:val="-4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Plan.</w:t>
      </w:r>
      <w:r>
        <w:rPr>
          <w:spacing w:val="-4"/>
        </w:rPr>
        <w:t xml:space="preserve"> </w:t>
      </w:r>
      <w:r>
        <w:t>Distributions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taxed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ordinary</w:t>
      </w:r>
      <w:r>
        <w:rPr>
          <w:spacing w:val="-5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tax</w:t>
      </w:r>
      <w:r>
        <w:rPr>
          <w:spacing w:val="-53"/>
        </w:rPr>
        <w:t xml:space="preserve"> </w:t>
      </w:r>
      <w:r>
        <w:t>purposes. However, distributions are not taxed by the State of Illinois if distributions are made (i) in</w:t>
      </w:r>
      <w:r>
        <w:rPr>
          <w:spacing w:val="1"/>
        </w:rPr>
        <w:t xml:space="preserve"> </w:t>
      </w:r>
      <w:r>
        <w:t>accordance with Plan provisions, (ii) on or after the participant has attained full retirement age, and (iii)</w:t>
      </w:r>
      <w:r>
        <w:rPr>
          <w:spacing w:val="1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resident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Illinois.</w:t>
      </w:r>
    </w:p>
    <w:p w14:paraId="597852BE" w14:textId="77777777" w:rsidR="00FF1CC0" w:rsidRDefault="00FF1CC0">
      <w:pPr>
        <w:pStyle w:val="BodyText"/>
        <w:spacing w:before="5"/>
        <w:rPr>
          <w:sz w:val="24"/>
        </w:rPr>
      </w:pPr>
    </w:p>
    <w:p w14:paraId="780B1A63" w14:textId="77777777" w:rsidR="00FF1CC0" w:rsidRDefault="007425B1">
      <w:pPr>
        <w:pStyle w:val="BodyText"/>
        <w:ind w:left="119" w:right="105"/>
      </w:pPr>
      <w:r>
        <w:rPr>
          <w:b/>
        </w:rPr>
        <w:t>Post-tax</w:t>
      </w:r>
      <w:r>
        <w:rPr>
          <w:b/>
          <w:spacing w:val="-5"/>
        </w:rPr>
        <w:t xml:space="preserve"> </w:t>
      </w:r>
      <w:r>
        <w:rPr>
          <w:b/>
        </w:rPr>
        <w:t>(Roth)</w:t>
      </w:r>
      <w:r>
        <w:rPr>
          <w:b/>
          <w:spacing w:val="-3"/>
        </w:rPr>
        <w:t xml:space="preserve"> </w:t>
      </w:r>
      <w:r>
        <w:rPr>
          <w:b/>
        </w:rPr>
        <w:t>Contributions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taxes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withheld</w:t>
      </w:r>
      <w:r>
        <w:rPr>
          <w:spacing w:val="-4"/>
        </w:rPr>
        <w:t xml:space="preserve"> </w:t>
      </w:r>
      <w:r>
        <w:t>from Roth</w:t>
      </w:r>
      <w:r>
        <w:rPr>
          <w:spacing w:val="-4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at</w:t>
      </w:r>
      <w:r>
        <w:rPr>
          <w:spacing w:val="-52"/>
        </w:rPr>
        <w:t xml:space="preserve"> </w:t>
      </w:r>
      <w:r>
        <w:t>the time that they are contributed to the Plan.</w:t>
      </w:r>
      <w:r>
        <w:rPr>
          <w:spacing w:val="1"/>
        </w:rPr>
        <w:t xml:space="preserve"> </w:t>
      </w:r>
      <w:r>
        <w:t>However, contributions and any earnings thereon are not</w:t>
      </w:r>
      <w:r>
        <w:rPr>
          <w:spacing w:val="1"/>
        </w:rPr>
        <w:t xml:space="preserve"> </w:t>
      </w:r>
      <w:r>
        <w:t>subject to Federal and State income taxes upon distribution if a five-year period has passed since Roth</w:t>
      </w:r>
      <w:r>
        <w:rPr>
          <w:spacing w:val="1"/>
        </w:rPr>
        <w:t xml:space="preserve"> </w:t>
      </w:r>
      <w:r>
        <w:t>contributions were first made to the Plan and the distribution is a “qualified distribution”.</w:t>
      </w:r>
      <w:r>
        <w:rPr>
          <w:spacing w:val="1"/>
        </w:rPr>
        <w:t xml:space="preserve"> </w:t>
      </w:r>
      <w:r>
        <w:t>A qualified</w:t>
      </w:r>
      <w:r>
        <w:rPr>
          <w:spacing w:val="1"/>
        </w:rPr>
        <w:t xml:space="preserve"> </w:t>
      </w:r>
      <w:r>
        <w:t>distribution is a distribution (i) made on or after the date on which the participant attains age 59 ½, (ii)</w:t>
      </w:r>
      <w:r>
        <w:rPr>
          <w:spacing w:val="1"/>
        </w:rPr>
        <w:t xml:space="preserve"> </w:t>
      </w:r>
      <w:r>
        <w:t>made to a beneficiary on or after the death of the participant, or (iii) attributable to the participant’s being</w:t>
      </w:r>
      <w:r>
        <w:rPr>
          <w:spacing w:val="1"/>
        </w:rPr>
        <w:t xml:space="preserve"> </w:t>
      </w:r>
      <w:r>
        <w:t>disabled.</w:t>
      </w:r>
    </w:p>
    <w:p w14:paraId="5D004039" w14:textId="77777777" w:rsidR="00FF1CC0" w:rsidRDefault="00FF1CC0">
      <w:pPr>
        <w:pStyle w:val="BodyText"/>
        <w:spacing w:before="6"/>
        <w:rPr>
          <w:sz w:val="24"/>
        </w:rPr>
      </w:pPr>
    </w:p>
    <w:p w14:paraId="6DACB913" w14:textId="77777777" w:rsidR="00FF1CC0" w:rsidRDefault="007425B1">
      <w:pPr>
        <w:pStyle w:val="BodyText"/>
        <w:ind w:left="119" w:right="148"/>
      </w:pPr>
      <w:r>
        <w:t>Employee contributions to the Plan can be allocated among the investment options offered by any</w:t>
      </w:r>
      <w:r>
        <w:rPr>
          <w:spacing w:val="1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Plan.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100%</w:t>
      </w:r>
      <w:r>
        <w:rPr>
          <w:spacing w:val="-3"/>
        </w:rPr>
        <w:t xml:space="preserve"> </w:t>
      </w:r>
      <w:proofErr w:type="gramStart"/>
      <w:r>
        <w:t>vested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 accounts 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53"/>
        </w:rPr>
        <w:t xml:space="preserve"> </w:t>
      </w:r>
      <w:r>
        <w:t>times</w:t>
      </w:r>
      <w:proofErr w:type="gramEnd"/>
      <w:r>
        <w:t>.</w:t>
      </w:r>
    </w:p>
    <w:p w14:paraId="1644FD19" w14:textId="77777777" w:rsidR="00FF1CC0" w:rsidRDefault="00FF1CC0">
      <w:pPr>
        <w:pStyle w:val="BodyText"/>
        <w:spacing w:before="3"/>
        <w:rPr>
          <w:sz w:val="24"/>
        </w:rPr>
      </w:pPr>
    </w:p>
    <w:p w14:paraId="6FAE70D6" w14:textId="77777777" w:rsidR="00FF1CC0" w:rsidRDefault="007425B1">
      <w:pPr>
        <w:pStyle w:val="Heading1"/>
      </w:pPr>
      <w:bookmarkStart w:id="4" w:name="Contribution_Limits"/>
      <w:bookmarkEnd w:id="4"/>
      <w:r>
        <w:rPr>
          <w:spacing w:val="-1"/>
        </w:rPr>
        <w:t>Contribution</w:t>
      </w:r>
      <w:r>
        <w:rPr>
          <w:spacing w:val="-5"/>
        </w:rPr>
        <w:t xml:space="preserve"> </w:t>
      </w:r>
      <w:r>
        <w:t>Limits</w:t>
      </w:r>
    </w:p>
    <w:p w14:paraId="122BA9E5" w14:textId="77777777" w:rsidR="00FF1CC0" w:rsidRDefault="00FF1CC0">
      <w:pPr>
        <w:pStyle w:val="BodyText"/>
        <w:spacing w:before="3"/>
        <w:rPr>
          <w:b/>
          <w:sz w:val="24"/>
        </w:rPr>
      </w:pPr>
    </w:p>
    <w:p w14:paraId="30217C40" w14:textId="0955E462" w:rsidR="00FF1CC0" w:rsidRDefault="007425B1">
      <w:pPr>
        <w:pStyle w:val="BodyText"/>
        <w:spacing w:before="1"/>
        <w:ind w:left="120"/>
      </w:pPr>
      <w:r>
        <w:t>Annual</w:t>
      </w:r>
      <w:r>
        <w:rPr>
          <w:spacing w:val="-9"/>
        </w:rPr>
        <w:t xml:space="preserve"> </w:t>
      </w:r>
      <w:r>
        <w:t>contributions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IRS</w:t>
      </w:r>
      <w:r>
        <w:rPr>
          <w:spacing w:val="-8"/>
        </w:rPr>
        <w:t xml:space="preserve"> </w:t>
      </w:r>
      <w:r>
        <w:t>regulations.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contribution</w:t>
      </w:r>
      <w:r>
        <w:rPr>
          <w:spacing w:val="-8"/>
        </w:rPr>
        <w:t xml:space="preserve"> </w:t>
      </w:r>
      <w:r>
        <w:t>limits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202</w:t>
      </w:r>
      <w:r w:rsidR="00616608">
        <w:t>2</w:t>
      </w:r>
      <w:r>
        <w:rPr>
          <w:spacing w:val="-4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202</w:t>
      </w:r>
      <w:r w:rsidR="00616608">
        <w:t>3</w:t>
      </w:r>
      <w:r>
        <w:t xml:space="preserve"> calendar</w:t>
      </w:r>
      <w:r>
        <w:rPr>
          <w:spacing w:val="5"/>
        </w:rPr>
        <w:t xml:space="preserve"> </w:t>
      </w:r>
      <w:r>
        <w:t>years are:</w:t>
      </w:r>
    </w:p>
    <w:p w14:paraId="0FA876B9" w14:textId="77777777" w:rsidR="00FF1CC0" w:rsidRDefault="00FF1CC0">
      <w:pPr>
        <w:pStyle w:val="BodyText"/>
      </w:pPr>
    </w:p>
    <w:p w14:paraId="4CDF5805" w14:textId="77777777" w:rsidR="00FF1CC0" w:rsidRDefault="00FF1CC0">
      <w:pPr>
        <w:pStyle w:val="BodyText"/>
        <w:spacing w:before="2"/>
        <w:rPr>
          <w:sz w:val="14"/>
        </w:rPr>
      </w:pPr>
    </w:p>
    <w:tbl>
      <w:tblPr>
        <w:tblW w:w="0" w:type="auto"/>
        <w:tblInd w:w="402" w:type="dxa"/>
        <w:tblBorders>
          <w:top w:val="double" w:sz="6" w:space="0" w:color="A1A1A1"/>
          <w:left w:val="double" w:sz="6" w:space="0" w:color="A1A1A1"/>
          <w:bottom w:val="double" w:sz="6" w:space="0" w:color="A1A1A1"/>
          <w:right w:val="double" w:sz="6" w:space="0" w:color="A1A1A1"/>
          <w:insideH w:val="double" w:sz="6" w:space="0" w:color="A1A1A1"/>
          <w:insideV w:val="double" w:sz="6" w:space="0" w:color="A1A1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2455"/>
        <w:gridCol w:w="2453"/>
        <w:gridCol w:w="2452"/>
      </w:tblGrid>
      <w:tr w:rsidR="00FF1CC0" w14:paraId="0BF9225E" w14:textId="77777777">
        <w:trPr>
          <w:trHeight w:val="534"/>
        </w:trPr>
        <w:tc>
          <w:tcPr>
            <w:tcW w:w="1481" w:type="dxa"/>
            <w:tcBorders>
              <w:left w:val="double" w:sz="6" w:space="0" w:color="F0F0F0"/>
            </w:tcBorders>
          </w:tcPr>
          <w:p w14:paraId="2F40963A" w14:textId="77777777" w:rsidR="00FF1CC0" w:rsidRDefault="007425B1">
            <w:pPr>
              <w:pStyle w:val="TableParagraph"/>
              <w:spacing w:before="148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2455" w:type="dxa"/>
          </w:tcPr>
          <w:p w14:paraId="5BD003D0" w14:textId="77777777" w:rsidR="00FF1CC0" w:rsidRDefault="007425B1">
            <w:pPr>
              <w:pStyle w:val="TableParagraph"/>
              <w:spacing w:before="36"/>
              <w:ind w:right="621"/>
              <w:rPr>
                <w:b/>
                <w:sz w:val="20"/>
              </w:rPr>
            </w:pPr>
            <w:r>
              <w:rPr>
                <w:b/>
                <w:sz w:val="20"/>
              </w:rPr>
              <w:t>Basic Elective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</w:p>
        </w:tc>
        <w:tc>
          <w:tcPr>
            <w:tcW w:w="2453" w:type="dxa"/>
          </w:tcPr>
          <w:p w14:paraId="562F2D1C" w14:textId="77777777" w:rsidR="00FF1CC0" w:rsidRDefault="007425B1">
            <w:pPr>
              <w:pStyle w:val="TableParagraph"/>
              <w:spacing w:before="36"/>
              <w:ind w:left="44" w:right="649"/>
              <w:rPr>
                <w:b/>
                <w:sz w:val="20"/>
              </w:rPr>
            </w:pPr>
            <w:r>
              <w:rPr>
                <w:b/>
                <w:sz w:val="20"/>
              </w:rPr>
              <w:t>Age 50+ Catch-up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</w:t>
            </w:r>
          </w:p>
        </w:tc>
        <w:tc>
          <w:tcPr>
            <w:tcW w:w="2452" w:type="dxa"/>
          </w:tcPr>
          <w:p w14:paraId="6AE2703F" w14:textId="77777777" w:rsidR="00FF1CC0" w:rsidRDefault="007425B1">
            <w:pPr>
              <w:pStyle w:val="TableParagraph"/>
              <w:spacing w:before="36"/>
              <w:ind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15 Years of Service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Catch-up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</w:t>
            </w:r>
          </w:p>
        </w:tc>
      </w:tr>
      <w:tr w:rsidR="00FF1CC0" w14:paraId="6745C07D" w14:textId="77777777">
        <w:trPr>
          <w:trHeight w:val="305"/>
        </w:trPr>
        <w:tc>
          <w:tcPr>
            <w:tcW w:w="1481" w:type="dxa"/>
            <w:tcBorders>
              <w:left w:val="double" w:sz="6" w:space="0" w:color="F0F0F0"/>
            </w:tcBorders>
          </w:tcPr>
          <w:p w14:paraId="6FA81ED4" w14:textId="5D5958DE" w:rsidR="00FF1CC0" w:rsidRDefault="007425B1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616608">
              <w:rPr>
                <w:sz w:val="20"/>
              </w:rPr>
              <w:t>2</w:t>
            </w:r>
          </w:p>
        </w:tc>
        <w:tc>
          <w:tcPr>
            <w:tcW w:w="2455" w:type="dxa"/>
          </w:tcPr>
          <w:p w14:paraId="1FB38B13" w14:textId="4FE515CF" w:rsidR="00FF1CC0" w:rsidRDefault="00616608">
            <w:pPr>
              <w:pStyle w:val="TableParagraph"/>
              <w:rPr>
                <w:sz w:val="20"/>
              </w:rPr>
            </w:pPr>
            <w:r w:rsidRPr="00616608">
              <w:rPr>
                <w:sz w:val="20"/>
              </w:rPr>
              <w:t>$20,500</w:t>
            </w:r>
          </w:p>
        </w:tc>
        <w:tc>
          <w:tcPr>
            <w:tcW w:w="2453" w:type="dxa"/>
          </w:tcPr>
          <w:p w14:paraId="45EB2CA5" w14:textId="77777777" w:rsidR="00FF1CC0" w:rsidRDefault="007425B1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$6,500</w:t>
            </w:r>
          </w:p>
        </w:tc>
        <w:tc>
          <w:tcPr>
            <w:tcW w:w="2452" w:type="dxa"/>
          </w:tcPr>
          <w:p w14:paraId="6A1CA07D" w14:textId="77777777" w:rsidR="00FF1CC0" w:rsidRDefault="007425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$3,000*</w:t>
            </w:r>
          </w:p>
        </w:tc>
      </w:tr>
      <w:tr w:rsidR="00FF1CC0" w14:paraId="75B43EFB" w14:textId="77777777">
        <w:trPr>
          <w:trHeight w:val="306"/>
        </w:trPr>
        <w:tc>
          <w:tcPr>
            <w:tcW w:w="1481" w:type="dxa"/>
            <w:tcBorders>
              <w:left w:val="double" w:sz="6" w:space="0" w:color="F0F0F0"/>
            </w:tcBorders>
          </w:tcPr>
          <w:p w14:paraId="79F65685" w14:textId="06BB4BAD" w:rsidR="00FF1CC0" w:rsidRDefault="007425B1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616608">
              <w:rPr>
                <w:sz w:val="20"/>
              </w:rPr>
              <w:t>3</w:t>
            </w:r>
          </w:p>
        </w:tc>
        <w:tc>
          <w:tcPr>
            <w:tcW w:w="2455" w:type="dxa"/>
          </w:tcPr>
          <w:p w14:paraId="7A6227B8" w14:textId="36BEB6CD" w:rsidR="00FF1CC0" w:rsidRDefault="007425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</w:t>
            </w:r>
            <w:r w:rsidR="00093F5B">
              <w:rPr>
                <w:sz w:val="20"/>
              </w:rPr>
              <w:t>2</w:t>
            </w:r>
            <w:r w:rsidR="00616608">
              <w:rPr>
                <w:sz w:val="20"/>
              </w:rPr>
              <w:t>2</w:t>
            </w:r>
            <w:r w:rsidR="00093F5B">
              <w:rPr>
                <w:sz w:val="20"/>
              </w:rPr>
              <w:t>,500</w:t>
            </w:r>
          </w:p>
        </w:tc>
        <w:tc>
          <w:tcPr>
            <w:tcW w:w="2453" w:type="dxa"/>
          </w:tcPr>
          <w:p w14:paraId="229AC458" w14:textId="033DE40A" w:rsidR="00FF1CC0" w:rsidRDefault="007425B1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$</w:t>
            </w:r>
            <w:r w:rsidR="00616608">
              <w:rPr>
                <w:sz w:val="20"/>
              </w:rPr>
              <w:t>7</w:t>
            </w:r>
            <w:r>
              <w:rPr>
                <w:sz w:val="20"/>
              </w:rPr>
              <w:t>,500</w:t>
            </w:r>
          </w:p>
        </w:tc>
        <w:tc>
          <w:tcPr>
            <w:tcW w:w="2452" w:type="dxa"/>
          </w:tcPr>
          <w:p w14:paraId="266B193F" w14:textId="77777777" w:rsidR="00FF1CC0" w:rsidRDefault="007425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$3,000*</w:t>
            </w:r>
          </w:p>
        </w:tc>
      </w:tr>
    </w:tbl>
    <w:p w14:paraId="1EE10CC3" w14:textId="77777777" w:rsidR="00FF1CC0" w:rsidRDefault="00FF1CC0">
      <w:pPr>
        <w:rPr>
          <w:sz w:val="20"/>
        </w:rPr>
        <w:sectPr w:rsidR="00FF1CC0">
          <w:type w:val="continuous"/>
          <w:pgSz w:w="12240" w:h="15840"/>
          <w:pgMar w:top="1360" w:right="1360" w:bottom="280" w:left="1320" w:header="720" w:footer="720" w:gutter="0"/>
          <w:cols w:space="720"/>
        </w:sectPr>
      </w:pPr>
    </w:p>
    <w:p w14:paraId="3AB345C5" w14:textId="03930AF8" w:rsidR="00FF1CC0" w:rsidRDefault="007425B1">
      <w:pPr>
        <w:pStyle w:val="BodyText"/>
        <w:spacing w:before="77"/>
        <w:ind w:left="119" w:right="105"/>
      </w:pPr>
      <w:r>
        <w:lastRenderedPageBreak/>
        <w:t xml:space="preserve">* The 15 years of service catch-up contribution applies before the age 50+ </w:t>
      </w:r>
      <w:proofErr w:type="gramStart"/>
      <w:r>
        <w:t>catch-up, and</w:t>
      </w:r>
      <w:proofErr w:type="gramEnd"/>
      <w:r>
        <w:t xml:space="preserve"> is based on a</w:t>
      </w:r>
      <w:r>
        <w:rPr>
          <w:spacing w:val="1"/>
        </w:rPr>
        <w:t xml:space="preserve"> </w:t>
      </w:r>
      <w:r>
        <w:t>formula that takes into account all past contributions to the Plan and the employee's total years of service</w:t>
      </w:r>
      <w:r>
        <w:rPr>
          <w:spacing w:val="-53"/>
        </w:rPr>
        <w:t xml:space="preserve"> </w:t>
      </w:r>
      <w:r>
        <w:t>to the University. The maximum 15 years of service catch-up available is $3,000 per year up to a $15,000</w:t>
      </w:r>
      <w:r>
        <w:rPr>
          <w:spacing w:val="-53"/>
        </w:rPr>
        <w:t xml:space="preserve"> </w:t>
      </w:r>
      <w:r>
        <w:t>lifetime benefit, but an employee's actual catch-up may be lower than this maximum. If you wish to defer</w:t>
      </w:r>
      <w:r>
        <w:rPr>
          <w:spacing w:val="1"/>
        </w:rPr>
        <w:t xml:space="preserve"> </w:t>
      </w:r>
      <w:r>
        <w:t>more than $</w:t>
      </w:r>
      <w:r w:rsidR="00093F5B">
        <w:t>20,500</w:t>
      </w:r>
      <w:r>
        <w:t xml:space="preserve"> ($2</w:t>
      </w:r>
      <w:r w:rsidR="00093F5B">
        <w:t>7</w:t>
      </w:r>
      <w:r>
        <w:t>,000 if age 50 or older), please contact the Benefits office on your campus to</w:t>
      </w:r>
      <w:r>
        <w:rPr>
          <w:spacing w:val="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years of service</w:t>
      </w:r>
      <w:r>
        <w:rPr>
          <w:spacing w:val="1"/>
        </w:rPr>
        <w:t xml:space="preserve"> </w:t>
      </w:r>
      <w:r>
        <w:t>catch-up.</w:t>
      </w:r>
    </w:p>
    <w:p w14:paraId="0A886180" w14:textId="77777777" w:rsidR="00FF1CC0" w:rsidRDefault="00FF1CC0">
      <w:pPr>
        <w:pStyle w:val="BodyText"/>
        <w:spacing w:before="6"/>
        <w:rPr>
          <w:sz w:val="24"/>
        </w:rPr>
      </w:pPr>
    </w:p>
    <w:p w14:paraId="2D111131" w14:textId="77777777" w:rsidR="00FF1CC0" w:rsidRDefault="007425B1">
      <w:pPr>
        <w:pStyle w:val="Heading1"/>
        <w:spacing w:before="0"/>
      </w:pPr>
      <w:bookmarkStart w:id="5" w:name="To_Enroll"/>
      <w:bookmarkEnd w:id="5"/>
      <w:r>
        <w:t>To</w:t>
      </w:r>
      <w:r>
        <w:rPr>
          <w:spacing w:val="-3"/>
        </w:rPr>
        <w:t xml:space="preserve"> </w:t>
      </w:r>
      <w:r>
        <w:t>Enroll</w:t>
      </w:r>
    </w:p>
    <w:p w14:paraId="02CD464B" w14:textId="77777777" w:rsidR="00FF1CC0" w:rsidRDefault="00FF1CC0">
      <w:pPr>
        <w:pStyle w:val="BodyText"/>
        <w:spacing w:before="3"/>
        <w:rPr>
          <w:b/>
          <w:sz w:val="24"/>
        </w:rPr>
      </w:pPr>
    </w:p>
    <w:p w14:paraId="180E5549" w14:textId="77777777" w:rsidR="00FF1CC0" w:rsidRDefault="007425B1">
      <w:pPr>
        <w:pStyle w:val="BodyText"/>
        <w:spacing w:before="1"/>
        <w:ind w:left="120" w:right="287"/>
      </w:pPr>
      <w:r>
        <w:t>Eligible employees may begin participating in the Plan at any time. To enroll in the Plan, an employee</w:t>
      </w:r>
      <w:r>
        <w:rPr>
          <w:spacing w:val="1"/>
        </w:rPr>
        <w:t xml:space="preserve"> </w:t>
      </w:r>
      <w:r>
        <w:t xml:space="preserve">must complete both (i) an approved vendor's application to open an account and (ii) a </w:t>
      </w:r>
      <w:hyperlink r:id="rId4">
        <w:r>
          <w:rPr>
            <w:color w:val="003366"/>
            <w:u w:val="single" w:color="003366"/>
          </w:rPr>
          <w:t>Salary Reduction</w:t>
        </w:r>
      </w:hyperlink>
      <w:r>
        <w:rPr>
          <w:color w:val="003366"/>
          <w:spacing w:val="-54"/>
        </w:rPr>
        <w:t xml:space="preserve"> </w:t>
      </w:r>
      <w:hyperlink r:id="rId5">
        <w:r>
          <w:rPr>
            <w:color w:val="003366"/>
            <w:u w:val="single" w:color="003366"/>
          </w:rPr>
          <w:t>Agreement (SRA)</w:t>
        </w:r>
        <w:r>
          <w:rPr>
            <w:color w:val="003366"/>
          </w:rPr>
          <w:t xml:space="preserve"> </w:t>
        </w:r>
      </w:hyperlink>
      <w:r>
        <w:t>to elect the contribution amount. Contributions may be designated as a percent of</w:t>
      </w:r>
      <w:r>
        <w:rPr>
          <w:spacing w:val="1"/>
        </w:rPr>
        <w:t xml:space="preserve"> </w:t>
      </w:r>
      <w:r>
        <w:t xml:space="preserve">salary or as a flat dollar amount. The SRA will apply only to amounts earned </w:t>
      </w:r>
      <w:r>
        <w:rPr>
          <w:b/>
        </w:rPr>
        <w:t xml:space="preserve">after </w:t>
      </w:r>
      <w:r>
        <w:t>enrolling in the Plan,</w:t>
      </w:r>
      <w:r>
        <w:rPr>
          <w:spacing w:val="-53"/>
        </w:rPr>
        <w:t xml:space="preserve"> </w:t>
      </w:r>
      <w:r>
        <w:t>and an employee's election under the SRA will continue until the SRA is modified or revoked by the</w:t>
      </w:r>
      <w:r>
        <w:rPr>
          <w:spacing w:val="1"/>
        </w:rPr>
        <w:t xml:space="preserve"> </w:t>
      </w:r>
      <w:r>
        <w:t>employee.</w:t>
      </w:r>
    </w:p>
    <w:p w14:paraId="78EA812C" w14:textId="77777777" w:rsidR="00FF1CC0" w:rsidRDefault="00FF1CC0">
      <w:pPr>
        <w:pStyle w:val="BodyText"/>
        <w:spacing w:before="3"/>
        <w:rPr>
          <w:sz w:val="24"/>
        </w:rPr>
      </w:pPr>
    </w:p>
    <w:p w14:paraId="576A79E8" w14:textId="77777777" w:rsidR="00FF1CC0" w:rsidRDefault="007425B1">
      <w:pPr>
        <w:pStyle w:val="Heading1"/>
        <w:spacing w:before="0"/>
      </w:pPr>
      <w:bookmarkStart w:id="6" w:name="To_Modify_a_Deferral_Election"/>
      <w:bookmarkEnd w:id="6"/>
      <w:r>
        <w:t>To</w:t>
      </w:r>
      <w:r>
        <w:rPr>
          <w:spacing w:val="-2"/>
        </w:rPr>
        <w:t xml:space="preserve"> </w:t>
      </w:r>
      <w:r>
        <w:t>Modify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Deferral</w:t>
      </w:r>
      <w:r>
        <w:rPr>
          <w:spacing w:val="-3"/>
        </w:rPr>
        <w:t xml:space="preserve"> </w:t>
      </w:r>
      <w:r>
        <w:t>Election</w:t>
      </w:r>
    </w:p>
    <w:p w14:paraId="2AD39C1D" w14:textId="77777777" w:rsidR="00FF1CC0" w:rsidRDefault="00FF1CC0">
      <w:pPr>
        <w:pStyle w:val="BodyText"/>
        <w:spacing w:before="4"/>
        <w:rPr>
          <w:b/>
          <w:sz w:val="24"/>
        </w:rPr>
      </w:pPr>
    </w:p>
    <w:p w14:paraId="1318CE6B" w14:textId="77777777" w:rsidR="00FF1CC0" w:rsidRDefault="007425B1">
      <w:pPr>
        <w:pStyle w:val="BodyText"/>
        <w:ind w:left="120" w:right="148"/>
      </w:pPr>
      <w:r>
        <w:t>Employees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increase,</w:t>
      </w:r>
      <w:r>
        <w:rPr>
          <w:spacing w:val="-1"/>
        </w:rPr>
        <w:t xml:space="preserve"> </w:t>
      </w:r>
      <w:proofErr w:type="gramStart"/>
      <w:r>
        <w:t>decrease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may</w:t>
      </w:r>
      <w:r>
        <w:rPr>
          <w:spacing w:val="-53"/>
        </w:rPr>
        <w:t xml:space="preserve"> </w:t>
      </w:r>
      <w:r>
        <w:t xml:space="preserve">also change the approved vendor to which their contributions are made at any time. These </w:t>
      </w:r>
      <w:hyperlink r:id="rId6">
        <w:r>
          <w:rPr>
            <w:color w:val="003366"/>
            <w:u w:val="single" w:color="003366"/>
          </w:rPr>
          <w:t>forms</w:t>
        </w:r>
        <w:r>
          <w:rPr>
            <w:color w:val="003366"/>
          </w:rPr>
          <w:t xml:space="preserve"> </w:t>
        </w:r>
      </w:hyperlink>
      <w:r>
        <w:t>are</w:t>
      </w:r>
      <w:r>
        <w:rPr>
          <w:spacing w:val="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Benefits</w:t>
      </w:r>
      <w:r>
        <w:rPr>
          <w:spacing w:val="-2"/>
        </w:rPr>
        <w:t xml:space="preserve"> </w:t>
      </w:r>
      <w:r>
        <w:t>website 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/ Payroll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Forms</w:t>
      </w:r>
    </w:p>
    <w:p w14:paraId="39B39618" w14:textId="77777777" w:rsidR="00FF1CC0" w:rsidRDefault="00FF1CC0">
      <w:pPr>
        <w:pStyle w:val="BodyText"/>
        <w:spacing w:before="4"/>
        <w:rPr>
          <w:sz w:val="24"/>
        </w:rPr>
      </w:pPr>
    </w:p>
    <w:p w14:paraId="3991EB8A" w14:textId="77777777" w:rsidR="00FF1CC0" w:rsidRDefault="007425B1">
      <w:pPr>
        <w:pStyle w:val="Heading1"/>
      </w:pPr>
      <w:bookmarkStart w:id="7" w:name="Approved_Vendors"/>
      <w:bookmarkEnd w:id="7"/>
      <w:r>
        <w:t>Approved</w:t>
      </w:r>
      <w:r>
        <w:rPr>
          <w:spacing w:val="-8"/>
        </w:rPr>
        <w:t xml:space="preserve"> </w:t>
      </w:r>
      <w:r>
        <w:t>Vendors</w:t>
      </w:r>
    </w:p>
    <w:p w14:paraId="2E05D84A" w14:textId="77777777" w:rsidR="00FF1CC0" w:rsidRDefault="00FF1CC0">
      <w:pPr>
        <w:pStyle w:val="BodyText"/>
        <w:spacing w:before="3"/>
        <w:rPr>
          <w:b/>
          <w:sz w:val="24"/>
        </w:rPr>
      </w:pPr>
    </w:p>
    <w:p w14:paraId="3147497A" w14:textId="77777777" w:rsidR="00FF1CC0" w:rsidRDefault="007425B1">
      <w:pPr>
        <w:pStyle w:val="BodyText"/>
        <w:spacing w:before="1"/>
        <w:ind w:left="119" w:right="148"/>
      </w:pPr>
      <w:r>
        <w:t>To enroll in our approved 403(b) vendor plans, please visit the Tax-Deferred Retirement Accounts</w:t>
      </w:r>
      <w:r>
        <w:rPr>
          <w:spacing w:val="1"/>
        </w:rPr>
        <w:t xml:space="preserve"> </w:t>
      </w:r>
      <w:r>
        <w:t xml:space="preserve">webpage at </w:t>
      </w:r>
      <w:hyperlink r:id="rId7">
        <w:r>
          <w:rPr>
            <w:color w:val="003366"/>
            <w:u w:val="single" w:color="003366"/>
          </w:rPr>
          <w:t>http://www.eiu.edu/~humanres/benefits/taxdeferredretirement.php</w:t>
        </w:r>
        <w:r>
          <w:rPr>
            <w:color w:val="003366"/>
          </w:rPr>
          <w:t xml:space="preserve"> </w:t>
        </w:r>
      </w:hyperlink>
      <w:r>
        <w:t>.</w:t>
      </w:r>
      <w:r>
        <w:rPr>
          <w:spacing w:val="1"/>
        </w:rPr>
        <w:t xml:space="preserve"> </w:t>
      </w:r>
      <w:r>
        <w:t>403(b) representatives</w:t>
      </w:r>
      <w:r>
        <w:rPr>
          <w:spacing w:val="1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periodic visits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campus.</w:t>
      </w:r>
      <w:r>
        <w:rPr>
          <w:spacing w:val="48"/>
        </w:rPr>
        <w:t xml:space="preserve"> </w:t>
      </w:r>
      <w:r>
        <w:t>Announcements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counseling</w:t>
      </w:r>
      <w:r>
        <w:rPr>
          <w:spacing w:val="-4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representatives</w:t>
      </w:r>
      <w:r>
        <w:rPr>
          <w:spacing w:val="-52"/>
        </w:rPr>
        <w:t xml:space="preserve"> </w:t>
      </w:r>
      <w:r>
        <w:t xml:space="preserve">are communicated </w:t>
      </w:r>
      <w:proofErr w:type="gramStart"/>
      <w:r>
        <w:t>through the use of</w:t>
      </w:r>
      <w:proofErr w:type="gramEnd"/>
      <w:r>
        <w:t xml:space="preserve"> our EIU Benefits website, Facebook, Twitter, and the University</w:t>
      </w:r>
      <w:r>
        <w:rPr>
          <w:spacing w:val="1"/>
        </w:rPr>
        <w:t xml:space="preserve"> </w:t>
      </w:r>
      <w:r>
        <w:t>Newsletter.</w:t>
      </w:r>
    </w:p>
    <w:p w14:paraId="16DAA8D0" w14:textId="77777777" w:rsidR="00FF1CC0" w:rsidRDefault="00FF1CC0">
      <w:pPr>
        <w:pStyle w:val="BodyText"/>
        <w:spacing w:before="4"/>
        <w:rPr>
          <w:sz w:val="24"/>
        </w:rPr>
      </w:pPr>
    </w:p>
    <w:p w14:paraId="5D8ADEB8" w14:textId="3FBC6CF4" w:rsidR="00FF1CC0" w:rsidRDefault="007425B1">
      <w:pPr>
        <w:pStyle w:val="BodyText"/>
        <w:ind w:left="839" w:right="2882"/>
      </w:pPr>
      <w:bookmarkStart w:id="8" w:name="_Hlk108597508"/>
      <w:r>
        <w:t>American Funds (First Mid-Illinois Bank):</w:t>
      </w:r>
      <w:r>
        <w:rPr>
          <w:spacing w:val="1"/>
        </w:rPr>
        <w:t xml:space="preserve"> </w:t>
      </w:r>
      <w:r>
        <w:t>217-348-1244</w:t>
      </w:r>
      <w:r>
        <w:rPr>
          <w:spacing w:val="-53"/>
        </w:rPr>
        <w:t xml:space="preserve"> </w:t>
      </w:r>
      <w:r>
        <w:t>Ameriprise</w:t>
      </w:r>
      <w:r>
        <w:rPr>
          <w:spacing w:val="-2"/>
        </w:rPr>
        <w:t xml:space="preserve"> </w:t>
      </w:r>
      <w:r>
        <w:t>Financial:</w:t>
      </w:r>
      <w:r>
        <w:rPr>
          <w:spacing w:val="53"/>
        </w:rPr>
        <w:t xml:space="preserve"> </w:t>
      </w:r>
      <w:r>
        <w:t>217-234-8136</w:t>
      </w:r>
    </w:p>
    <w:p w14:paraId="338F2AA9" w14:textId="77777777" w:rsidR="00FF1CC0" w:rsidRDefault="007425B1">
      <w:pPr>
        <w:pStyle w:val="BodyText"/>
        <w:spacing w:before="1" w:line="229" w:lineRule="exact"/>
        <w:ind w:left="839"/>
      </w:pPr>
      <w:r>
        <w:t>Fidelity</w:t>
      </w:r>
      <w:r>
        <w:rPr>
          <w:spacing w:val="-8"/>
        </w:rPr>
        <w:t xml:space="preserve"> </w:t>
      </w:r>
      <w:r>
        <w:t>Investments:</w:t>
      </w:r>
      <w:r>
        <w:rPr>
          <w:spacing w:val="49"/>
        </w:rPr>
        <w:t xml:space="preserve"> </w:t>
      </w:r>
      <w:r>
        <w:t>800-343-0860</w:t>
      </w:r>
    </w:p>
    <w:p w14:paraId="258AC84A" w14:textId="77777777" w:rsidR="00FF1CC0" w:rsidRDefault="007425B1">
      <w:pPr>
        <w:pStyle w:val="BodyText"/>
        <w:spacing w:before="1"/>
        <w:ind w:left="839"/>
      </w:pPr>
      <w:r>
        <w:t>TIAA-CREF:</w:t>
      </w:r>
      <w:r>
        <w:rPr>
          <w:spacing w:val="51"/>
        </w:rPr>
        <w:t xml:space="preserve"> </w:t>
      </w:r>
      <w:r>
        <w:t>800-842-2005</w:t>
      </w:r>
    </w:p>
    <w:p w14:paraId="583291E7" w14:textId="5D727628" w:rsidR="00FF1CC0" w:rsidRDefault="007425B1">
      <w:pPr>
        <w:pStyle w:val="BodyText"/>
        <w:ind w:left="839"/>
      </w:pPr>
      <w:bookmarkStart w:id="9" w:name="More_Information"/>
      <w:bookmarkEnd w:id="9"/>
      <w:r>
        <w:t>VALIC:</w:t>
      </w:r>
      <w:r>
        <w:rPr>
          <w:spacing w:val="43"/>
        </w:rPr>
        <w:t xml:space="preserve"> </w:t>
      </w:r>
      <w:r w:rsidR="00CF721E">
        <w:t>800-448-2542</w:t>
      </w:r>
    </w:p>
    <w:p w14:paraId="0B2BD060" w14:textId="5C687880" w:rsidR="00380C16" w:rsidRDefault="00380C16">
      <w:pPr>
        <w:pStyle w:val="BodyText"/>
        <w:ind w:left="839"/>
      </w:pPr>
      <w:r>
        <w:t xml:space="preserve">VOYA: </w:t>
      </w:r>
      <w:r w:rsidRPr="00380C16">
        <w:t>888-311-9487</w:t>
      </w:r>
    </w:p>
    <w:bookmarkEnd w:id="8"/>
    <w:p w14:paraId="27142EA6" w14:textId="77777777" w:rsidR="00FF1CC0" w:rsidRDefault="00FF1CC0">
      <w:pPr>
        <w:pStyle w:val="BodyText"/>
        <w:spacing w:before="1"/>
        <w:rPr>
          <w:sz w:val="24"/>
        </w:rPr>
      </w:pPr>
    </w:p>
    <w:p w14:paraId="4C4E6714" w14:textId="77777777" w:rsidR="00FF1CC0" w:rsidRDefault="007425B1">
      <w:pPr>
        <w:pStyle w:val="Heading1"/>
        <w:spacing w:before="0"/>
      </w:pPr>
      <w:r>
        <w:t>More</w:t>
      </w:r>
      <w:r>
        <w:rPr>
          <w:spacing w:val="-3"/>
        </w:rPr>
        <w:t xml:space="preserve"> </w:t>
      </w:r>
      <w:r>
        <w:t>Information</w:t>
      </w:r>
    </w:p>
    <w:p w14:paraId="76D53CC2" w14:textId="77777777" w:rsidR="00FF1CC0" w:rsidRDefault="00FF1CC0">
      <w:pPr>
        <w:pStyle w:val="BodyText"/>
        <w:spacing w:before="6"/>
        <w:rPr>
          <w:b/>
          <w:sz w:val="24"/>
        </w:rPr>
      </w:pPr>
    </w:p>
    <w:p w14:paraId="6D88DE27" w14:textId="77777777" w:rsidR="00FF1CC0" w:rsidRDefault="007425B1">
      <w:pPr>
        <w:pStyle w:val="BodyText"/>
        <w:ind w:left="120"/>
      </w:pP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vendors</w:t>
      </w:r>
      <w:r>
        <w:rPr>
          <w:spacing w:val="-3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help</w:t>
      </w:r>
      <w:r>
        <w:rPr>
          <w:spacing w:val="-53"/>
        </w:rPr>
        <w:t xml:space="preserve"> </w:t>
      </w:r>
      <w:r>
        <w:t>enrolling 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Plan.</w:t>
      </w:r>
    </w:p>
    <w:p w14:paraId="36BF6BCA" w14:textId="77777777" w:rsidR="00FF1CC0" w:rsidRDefault="00FF1CC0">
      <w:pPr>
        <w:pStyle w:val="BodyText"/>
        <w:spacing w:before="4"/>
        <w:rPr>
          <w:sz w:val="24"/>
        </w:rPr>
      </w:pPr>
    </w:p>
    <w:p w14:paraId="6896F454" w14:textId="77777777" w:rsidR="00FF1CC0" w:rsidRDefault="007425B1">
      <w:pPr>
        <w:ind w:left="120"/>
        <w:rPr>
          <w:b/>
          <w:sz w:val="20"/>
        </w:rPr>
      </w:pPr>
      <w:r>
        <w:rPr>
          <w:b/>
          <w:sz w:val="20"/>
        </w:rPr>
        <w:t>Benefits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Services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Offices</w:t>
      </w:r>
    </w:p>
    <w:p w14:paraId="02283374" w14:textId="77777777" w:rsidR="00FF1CC0" w:rsidRDefault="00000000">
      <w:pPr>
        <w:pStyle w:val="BodyText"/>
        <w:tabs>
          <w:tab w:val="right" w:pos="3366"/>
        </w:tabs>
        <w:ind w:left="120"/>
      </w:pPr>
      <w:hyperlink r:id="rId8">
        <w:r w:rsidR="007425B1">
          <w:rPr>
            <w:color w:val="003366"/>
            <w:u w:val="single" w:color="003366"/>
          </w:rPr>
          <w:t>benefits@eiu.edu</w:t>
        </w:r>
      </w:hyperlink>
      <w:r w:rsidR="007425B1">
        <w:rPr>
          <w:color w:val="003366"/>
        </w:rPr>
        <w:tab/>
      </w:r>
      <w:r w:rsidR="007425B1">
        <w:t>217-581-5825</w:t>
      </w:r>
    </w:p>
    <w:p w14:paraId="5B4AA30F" w14:textId="77777777" w:rsidR="00FF1CC0" w:rsidRDefault="007425B1">
      <w:pPr>
        <w:spacing w:before="279"/>
        <w:ind w:left="120" w:right="159"/>
        <w:rPr>
          <w:i/>
          <w:sz w:val="20"/>
        </w:rPr>
      </w:pPr>
      <w:r>
        <w:rPr>
          <w:i/>
          <w:sz w:val="20"/>
        </w:rPr>
        <w:t>This notice is provided as a source of information and does not constitute legal, tax, or other professional</w:t>
      </w:r>
      <w:r>
        <w:rPr>
          <w:i/>
          <w:spacing w:val="-54"/>
          <w:sz w:val="20"/>
        </w:rPr>
        <w:t xml:space="preserve"> </w:t>
      </w:r>
      <w:r>
        <w:rPr>
          <w:i/>
          <w:sz w:val="20"/>
        </w:rPr>
        <w:t>advice. If legal advice, tax advice, or other professional assistance is required, the services of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professional advisor should be sought. Every effort has been made to make this notice as thorough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accurate as possible. However, there are other legal documents, laws, and regulations that govern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operation of the Plan. It is understood that in the event of any conflict, the terms of the Plan document,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applicable laws,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regulations will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govern.</w:t>
      </w:r>
    </w:p>
    <w:sectPr w:rsidR="00FF1CC0">
      <w:pgSz w:w="12240" w:h="15840"/>
      <w:pgMar w:top="136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C0"/>
    <w:rsid w:val="00093F5B"/>
    <w:rsid w:val="00380C16"/>
    <w:rsid w:val="00616608"/>
    <w:rsid w:val="007425B1"/>
    <w:rsid w:val="00744F7F"/>
    <w:rsid w:val="008323F4"/>
    <w:rsid w:val="00CF721E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D488"/>
  <w15:docId w15:val="{5F95742D-6D10-4EC4-A54B-DB5200A4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5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fits@ei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iu.edu/%7Ehumanres/benefits/taxdeferredretirement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iu.edu/humanres/payroll/payrollbenefitsforms.php" TargetMode="External"/><Relationship Id="rId5" Type="http://schemas.openxmlformats.org/officeDocument/2006/relationships/hyperlink" Target="http://www.eiu.edu/humanres/benefits/Salary%20Reduction%20Agreement%20Fillable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iu.edu/humanres/benefits/Salary%20Reduction%20Agreement%20Fillable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pahood</dc:creator>
  <cp:lastModifiedBy>Kelli D Davis</cp:lastModifiedBy>
  <cp:revision>2</cp:revision>
  <dcterms:created xsi:type="dcterms:W3CDTF">2022-12-21T15:29:00Z</dcterms:created>
  <dcterms:modified xsi:type="dcterms:W3CDTF">2022-12-21T15:29:00Z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2021-11-11T00:00:00Z</vt:filetime>
  </property>
</Properties>
</file>