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8C41A" w14:textId="605935E7" w:rsidR="00AF40B7" w:rsidRDefault="00AF40B7" w:rsidP="00AF40B7">
      <w:pPr>
        <w:pStyle w:val="Header"/>
        <w:rPr>
          <w:sz w:val="24"/>
          <w:szCs w:val="24"/>
        </w:rPr>
      </w:pPr>
      <w:r w:rsidRPr="00AF40B7">
        <w:rPr>
          <w:sz w:val="24"/>
          <w:szCs w:val="24"/>
        </w:rPr>
        <w:t xml:space="preserve">The table below represents Impact on P-12 Assessment Data. The impact on P-12 assessment incorporates Task 3 of the </w:t>
      </w:r>
      <w:proofErr w:type="spellStart"/>
      <w:r w:rsidRPr="00AF40B7">
        <w:rPr>
          <w:sz w:val="24"/>
          <w:szCs w:val="24"/>
        </w:rPr>
        <w:t>edTPA</w:t>
      </w:r>
      <w:proofErr w:type="spellEnd"/>
      <w:r w:rsidRPr="00AF40B7">
        <w:rPr>
          <w:sz w:val="24"/>
          <w:szCs w:val="24"/>
        </w:rPr>
        <w:t xml:space="preserve">: Analyzing Student Learning. An EPP developed rubric is used to evaluate the candidates’ submission without violating the formal scoring of the </w:t>
      </w:r>
      <w:proofErr w:type="spellStart"/>
      <w:r w:rsidRPr="00AF40B7">
        <w:rPr>
          <w:sz w:val="24"/>
          <w:szCs w:val="24"/>
        </w:rPr>
        <w:t>edTPA</w:t>
      </w:r>
      <w:proofErr w:type="spellEnd"/>
      <w:r w:rsidRPr="00AF40B7">
        <w:rPr>
          <w:sz w:val="24"/>
          <w:szCs w:val="24"/>
        </w:rPr>
        <w:t xml:space="preserve">. Although the Illinois State Board of Education did not require candidates to successfully complete the </w:t>
      </w:r>
      <w:proofErr w:type="spellStart"/>
      <w:r w:rsidRPr="00AF40B7">
        <w:rPr>
          <w:sz w:val="24"/>
          <w:szCs w:val="24"/>
        </w:rPr>
        <w:t>edTPA</w:t>
      </w:r>
      <w:proofErr w:type="spellEnd"/>
      <w:r w:rsidRPr="00AF40B7">
        <w:rPr>
          <w:sz w:val="24"/>
          <w:szCs w:val="24"/>
        </w:rPr>
        <w:t xml:space="preserve">, task 3 was still used to collect EPP data. Based on the </w:t>
      </w:r>
      <w:r w:rsidR="0062046E">
        <w:rPr>
          <w:sz w:val="24"/>
          <w:szCs w:val="24"/>
        </w:rPr>
        <w:t>2021-22</w:t>
      </w:r>
      <w:r>
        <w:rPr>
          <w:sz w:val="24"/>
          <w:szCs w:val="24"/>
        </w:rPr>
        <w:t xml:space="preserve"> </w:t>
      </w:r>
      <w:r w:rsidRPr="00AF40B7">
        <w:rPr>
          <w:sz w:val="24"/>
          <w:szCs w:val="24"/>
        </w:rPr>
        <w:t>data, candidates</w:t>
      </w:r>
      <w:r>
        <w:rPr>
          <w:sz w:val="24"/>
          <w:szCs w:val="24"/>
        </w:rPr>
        <w:t xml:space="preserve"> demonstrate the ability to identify a learning target, instructionally plan to address the target, </w:t>
      </w:r>
      <w:r w:rsidR="00EB4C44">
        <w:rPr>
          <w:sz w:val="24"/>
          <w:szCs w:val="24"/>
        </w:rPr>
        <w:t xml:space="preserve">implement instruction, </w:t>
      </w:r>
      <w:r>
        <w:rPr>
          <w:sz w:val="24"/>
          <w:szCs w:val="24"/>
        </w:rPr>
        <w:t>collect data on the effectiveness of their instruction, and use the data to reflect on their instruction.</w:t>
      </w:r>
    </w:p>
    <w:p w14:paraId="2C99F3B3" w14:textId="2926F7C4" w:rsidR="00AF40B7" w:rsidRDefault="00AF40B7" w:rsidP="00AF40B7">
      <w:pPr>
        <w:pStyle w:val="Header"/>
        <w:rPr>
          <w:sz w:val="24"/>
          <w:szCs w:val="24"/>
        </w:rPr>
      </w:pPr>
    </w:p>
    <w:p w14:paraId="6CF85AAD" w14:textId="720A29FD" w:rsidR="00AA2FC7" w:rsidRPr="00A72054" w:rsidRDefault="00EB4C44" w:rsidP="00A72054">
      <w:pPr>
        <w:pStyle w:val="Header"/>
        <w:rPr>
          <w:sz w:val="24"/>
          <w:szCs w:val="24"/>
        </w:rPr>
      </w:pPr>
      <w:r>
        <w:rPr>
          <w:sz w:val="24"/>
          <w:szCs w:val="24"/>
        </w:rPr>
        <w:t>Rubric i</w:t>
      </w:r>
      <w:r w:rsidR="00AF40B7">
        <w:rPr>
          <w:sz w:val="24"/>
          <w:szCs w:val="24"/>
        </w:rPr>
        <w:t>tems 1,</w:t>
      </w:r>
      <w:r>
        <w:rPr>
          <w:sz w:val="24"/>
          <w:szCs w:val="24"/>
        </w:rPr>
        <w:t xml:space="preserve"> 9, 10, and 11 all relate to candidates’ ability to use assess students and use data to identify students’ instructional needs. Across the items approximately </w:t>
      </w:r>
      <w:r w:rsidR="0062046E">
        <w:rPr>
          <w:sz w:val="24"/>
          <w:szCs w:val="24"/>
        </w:rPr>
        <w:t>98-</w:t>
      </w:r>
      <w:r>
        <w:rPr>
          <w:sz w:val="24"/>
          <w:szCs w:val="24"/>
        </w:rPr>
        <w:t>99% of the candidates performed at a “meets” or “exceeds” standards level.</w:t>
      </w:r>
      <w:r w:rsidR="00892319">
        <w:rPr>
          <w:sz w:val="24"/>
          <w:szCs w:val="24"/>
        </w:rPr>
        <w:t xml:space="preserve"> Data from rubric item 2 provides an indication that candidates can design instruction appropriate to a learners’ development and abilities. Ninety nine percent of candidates were rated by their student teaching supervisors as “meeting/exceeding” standards. Similarly, data support candidates’ ability to implement instruction that results in positive outcomes (items 5, 6, 7, and 12).</w:t>
      </w:r>
      <w:r w:rsidR="0062046E">
        <w:rPr>
          <w:sz w:val="24"/>
          <w:szCs w:val="24"/>
        </w:rPr>
        <w:t xml:space="preserve"> A range of 97</w:t>
      </w:r>
      <w:bookmarkStart w:id="0" w:name="_GoBack"/>
      <w:bookmarkEnd w:id="0"/>
      <w:r w:rsidR="00A72054">
        <w:rPr>
          <w:sz w:val="24"/>
          <w:szCs w:val="24"/>
        </w:rPr>
        <w:t>%-99% of candidates can differentiate instruction using a variety of instructional strategies and materials that align with students’ needs and positively impact learning outcomes. Finally, all candidates were able to meaningfully reflect on their planning and implementation.</w:t>
      </w:r>
    </w:p>
    <w:p w14:paraId="2189FAD7" w14:textId="77777777" w:rsidR="00AF40B7" w:rsidRDefault="00AF4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710"/>
        <w:gridCol w:w="1710"/>
        <w:gridCol w:w="1525"/>
      </w:tblGrid>
      <w:tr w:rsidR="00817E2E" w14:paraId="7AFD3BD5" w14:textId="77777777" w:rsidTr="00A605EE">
        <w:tc>
          <w:tcPr>
            <w:tcW w:w="9445" w:type="dxa"/>
          </w:tcPr>
          <w:p w14:paraId="6624F553" w14:textId="432BC0CF" w:rsidR="00817E2E" w:rsidRDefault="00817E2E" w:rsidP="00A605EE">
            <w:pPr>
              <w:jc w:val="center"/>
            </w:pPr>
            <w:r>
              <w:t>Rubric Element</w:t>
            </w:r>
          </w:p>
        </w:tc>
        <w:tc>
          <w:tcPr>
            <w:tcW w:w="1710" w:type="dxa"/>
          </w:tcPr>
          <w:p w14:paraId="7CA7078F" w14:textId="77777777" w:rsidR="00817E2E" w:rsidRDefault="00817E2E" w:rsidP="00A605EE">
            <w:pPr>
              <w:jc w:val="center"/>
            </w:pPr>
            <w:r>
              <w:t>Exceeds Standards</w:t>
            </w:r>
          </w:p>
          <w:p w14:paraId="32E44E5D" w14:textId="211B5945" w:rsidR="00817E2E" w:rsidRDefault="00817E2E" w:rsidP="00A605EE">
            <w:pPr>
              <w:jc w:val="center"/>
            </w:pPr>
            <w:r>
              <w:t>4-5</w:t>
            </w:r>
          </w:p>
        </w:tc>
        <w:tc>
          <w:tcPr>
            <w:tcW w:w="1710" w:type="dxa"/>
          </w:tcPr>
          <w:p w14:paraId="79EC6C16" w14:textId="77777777" w:rsidR="00817E2E" w:rsidRDefault="00817E2E" w:rsidP="00A605EE">
            <w:pPr>
              <w:jc w:val="center"/>
            </w:pPr>
            <w:r>
              <w:t>Meets Standards</w:t>
            </w:r>
          </w:p>
          <w:p w14:paraId="7B9F1E1F" w14:textId="7DFB75D5" w:rsidR="00817E2E" w:rsidRDefault="00817E2E" w:rsidP="00A605EE">
            <w:pPr>
              <w:jc w:val="center"/>
            </w:pPr>
            <w:r>
              <w:t>3</w:t>
            </w:r>
          </w:p>
        </w:tc>
        <w:tc>
          <w:tcPr>
            <w:tcW w:w="1525" w:type="dxa"/>
          </w:tcPr>
          <w:p w14:paraId="01CFCEBD" w14:textId="77777777" w:rsidR="00817E2E" w:rsidRDefault="00817E2E" w:rsidP="00A605EE">
            <w:pPr>
              <w:jc w:val="center"/>
            </w:pPr>
            <w:r>
              <w:t>Does Not Meet Standards</w:t>
            </w:r>
          </w:p>
          <w:p w14:paraId="22539163" w14:textId="41E9D129" w:rsidR="00817E2E" w:rsidRDefault="00817E2E" w:rsidP="00A605EE">
            <w:pPr>
              <w:jc w:val="center"/>
            </w:pPr>
            <w:r>
              <w:t>1-2</w:t>
            </w:r>
          </w:p>
        </w:tc>
      </w:tr>
      <w:tr w:rsidR="00817E2E" w14:paraId="42EBC94A" w14:textId="77777777" w:rsidTr="006B0302">
        <w:tc>
          <w:tcPr>
            <w:tcW w:w="9445" w:type="dxa"/>
          </w:tcPr>
          <w:p w14:paraId="2BA439E4" w14:textId="77777777" w:rsidR="00817E2E" w:rsidRPr="00817E2E" w:rsidRDefault="00817E2E" w:rsidP="00817E2E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817E2E">
              <w:rPr>
                <w:rFonts w:ascii="NimbusSanL-Regu" w:hAnsi="NimbusSanL-Regu" w:cs="NimbusSanL-Regu"/>
                <w:sz w:val="18"/>
                <w:szCs w:val="18"/>
              </w:rPr>
              <w:t>Candidate assesses individual and group performance and prior knowledge to design</w:t>
            </w:r>
          </w:p>
          <w:p w14:paraId="564DB612" w14:textId="77777777" w:rsidR="00817E2E" w:rsidRPr="00817E2E" w:rsidRDefault="00817E2E" w:rsidP="00817E2E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proofErr w:type="gramStart"/>
            <w:r w:rsidRPr="00817E2E">
              <w:rPr>
                <w:rFonts w:ascii="NimbusSanL-Regu" w:hAnsi="NimbusSanL-Regu" w:cs="NimbusSanL-Regu"/>
                <w:sz w:val="18"/>
                <w:szCs w:val="18"/>
              </w:rPr>
              <w:t>and</w:t>
            </w:r>
            <w:proofErr w:type="gramEnd"/>
            <w:r w:rsidRPr="00817E2E">
              <w:rPr>
                <w:rFonts w:ascii="NimbusSanL-Regu" w:hAnsi="NimbusSanL-Regu" w:cs="NimbusSanL-Regu"/>
                <w:sz w:val="18"/>
                <w:szCs w:val="18"/>
              </w:rPr>
              <w:t xml:space="preserve"> modify instruction. </w:t>
            </w:r>
            <w:proofErr w:type="spellStart"/>
            <w:r w:rsidRPr="00817E2E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817E2E">
              <w:rPr>
                <w:rFonts w:ascii="NimbusSanL-Regu" w:hAnsi="NimbusSanL-Regu" w:cs="NimbusSanL-Regu"/>
                <w:sz w:val="18"/>
                <w:szCs w:val="18"/>
              </w:rPr>
              <w:t xml:space="preserve"> 1a, 2a, 4f, 6g, 7d, 7f, 8a IPTS.1.D 1.L 2.E DF: 1a, 1b, 3c,</w:t>
            </w:r>
          </w:p>
          <w:p w14:paraId="5FED5569" w14:textId="7E4EACFF" w:rsidR="00817E2E" w:rsidRDefault="00817E2E" w:rsidP="00817E2E">
            <w:r w:rsidRPr="00817E2E">
              <w:rPr>
                <w:rFonts w:ascii="NimbusSanL-Regu" w:hAnsi="NimbusSanL-Regu" w:cs="NimbusSanL-Regu"/>
                <w:sz w:val="18"/>
                <w:szCs w:val="18"/>
              </w:rPr>
              <w:t>3d, 3e</w:t>
            </w:r>
          </w:p>
        </w:tc>
        <w:tc>
          <w:tcPr>
            <w:tcW w:w="1710" w:type="dxa"/>
            <w:vAlign w:val="center"/>
          </w:tcPr>
          <w:p w14:paraId="2EF280E0" w14:textId="3A13B840" w:rsidR="00817E2E" w:rsidRDefault="0084386C" w:rsidP="006B0302">
            <w:pPr>
              <w:jc w:val="center"/>
            </w:pPr>
            <w:r>
              <w:t>80%</w:t>
            </w:r>
          </w:p>
        </w:tc>
        <w:tc>
          <w:tcPr>
            <w:tcW w:w="1710" w:type="dxa"/>
            <w:vAlign w:val="center"/>
          </w:tcPr>
          <w:p w14:paraId="2846E226" w14:textId="1A3AD19E" w:rsidR="00817E2E" w:rsidRDefault="007850BE" w:rsidP="006B0302">
            <w:pPr>
              <w:jc w:val="center"/>
            </w:pPr>
            <w:r>
              <w:t>19</w:t>
            </w:r>
            <w:r w:rsidR="0084386C">
              <w:t>%</w:t>
            </w:r>
          </w:p>
        </w:tc>
        <w:tc>
          <w:tcPr>
            <w:tcW w:w="1525" w:type="dxa"/>
            <w:vAlign w:val="center"/>
          </w:tcPr>
          <w:p w14:paraId="425E9E4D" w14:textId="2C0DE640" w:rsidR="00817E2E" w:rsidRDefault="00FC0150" w:rsidP="006B0302">
            <w:pPr>
              <w:jc w:val="center"/>
            </w:pPr>
            <w:r>
              <w:t>1</w:t>
            </w:r>
            <w:r w:rsidR="0084386C">
              <w:t>%</w:t>
            </w:r>
          </w:p>
        </w:tc>
      </w:tr>
      <w:tr w:rsidR="00817E2E" w14:paraId="7A6EB638" w14:textId="77777777" w:rsidTr="006B0302">
        <w:tc>
          <w:tcPr>
            <w:tcW w:w="9445" w:type="dxa"/>
          </w:tcPr>
          <w:p w14:paraId="4B9B50A2" w14:textId="09CA6E60" w:rsidR="00817E2E" w:rsidRPr="00777691" w:rsidRDefault="00817E2E" w:rsidP="00817E2E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designs instruction appropriate to learners</w:t>
            </w:r>
            <w:r w:rsidR="00777691">
              <w:rPr>
                <w:rFonts w:ascii="NimbusSanL-Regu" w:hAnsi="NimbusSanL-Regu" w:cs="NimbusSanL-Regu"/>
                <w:sz w:val="18"/>
                <w:szCs w:val="18"/>
              </w:rPr>
              <w:t>’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stages of development, learning</w:t>
            </w:r>
          </w:p>
          <w:p w14:paraId="20714107" w14:textId="35F90E73" w:rsidR="00817E2E" w:rsidRPr="00777691" w:rsidRDefault="00817E2E" w:rsidP="00817E2E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proofErr w:type="gram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styles</w:t>
            </w:r>
            <w:proofErr w:type="gram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, strengths</w:t>
            </w:r>
            <w:r w:rsidR="00777691">
              <w:rPr>
                <w:rFonts w:ascii="NimbusSanL-Regu" w:hAnsi="NimbusSanL-Regu" w:cs="NimbusSanL-Regu"/>
                <w:sz w:val="18"/>
                <w:szCs w:val="18"/>
              </w:rPr>
              <w:t>,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and needs.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1b, 2a, 2b, 7b, 7d, 8a, 8h, IPT .1.C, 1.D, 1.J, 3.C, 3.J,</w:t>
            </w:r>
          </w:p>
          <w:p w14:paraId="6A95E323" w14:textId="33D86BC8" w:rsidR="00817E2E" w:rsidRPr="00777691" w:rsidRDefault="00817E2E" w:rsidP="00817E2E">
            <w:pPr>
              <w:rPr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3.Q, 4.L DF: 1a, 1b, 3c, 3d, 3e</w:t>
            </w:r>
          </w:p>
        </w:tc>
        <w:tc>
          <w:tcPr>
            <w:tcW w:w="1710" w:type="dxa"/>
            <w:vAlign w:val="center"/>
          </w:tcPr>
          <w:p w14:paraId="1337ABF4" w14:textId="26F4F597" w:rsidR="00817E2E" w:rsidRDefault="007850BE" w:rsidP="006B0302">
            <w:pPr>
              <w:jc w:val="center"/>
            </w:pPr>
            <w:r>
              <w:t>76%</w:t>
            </w:r>
          </w:p>
        </w:tc>
        <w:tc>
          <w:tcPr>
            <w:tcW w:w="1710" w:type="dxa"/>
            <w:vAlign w:val="center"/>
          </w:tcPr>
          <w:p w14:paraId="59CC7B3E" w14:textId="3A5921C2" w:rsidR="00817E2E" w:rsidRDefault="007850BE" w:rsidP="006B0302">
            <w:pPr>
              <w:jc w:val="center"/>
            </w:pPr>
            <w:r>
              <w:t>23%</w:t>
            </w:r>
          </w:p>
        </w:tc>
        <w:tc>
          <w:tcPr>
            <w:tcW w:w="1525" w:type="dxa"/>
            <w:vAlign w:val="center"/>
          </w:tcPr>
          <w:p w14:paraId="14A0DDEE" w14:textId="21C81816" w:rsidR="00817E2E" w:rsidRDefault="007850BE" w:rsidP="006B0302">
            <w:pPr>
              <w:jc w:val="center"/>
            </w:pPr>
            <w:r>
              <w:t>1%</w:t>
            </w:r>
          </w:p>
        </w:tc>
      </w:tr>
      <w:tr w:rsidR="00817E2E" w14:paraId="179AB284" w14:textId="77777777" w:rsidTr="006B0302">
        <w:tc>
          <w:tcPr>
            <w:tcW w:w="9445" w:type="dxa"/>
          </w:tcPr>
          <w:p w14:paraId="04517C7B" w14:textId="5B9365CB" w:rsidR="00817E2E" w:rsidRPr="00777691" w:rsidRDefault="00817E2E" w:rsidP="00777691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establishes expectations for student learning whereby short-range and long</w:t>
            </w:r>
            <w:r w:rsidR="00777691">
              <w:rPr>
                <w:rFonts w:ascii="NimbusSanL-Regu" w:hAnsi="NimbusSanL-Regu" w:cs="NimbusSanL-Regu"/>
                <w:sz w:val="18"/>
                <w:szCs w:val="18"/>
              </w:rPr>
              <w:t>-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range</w:t>
            </w:r>
            <w:r w:rsidR="00777691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goals are identified and demonstrate an observable scope and sequence</w:t>
            </w:r>
            <w:r w:rsidR="00777691">
              <w:rPr>
                <w:rFonts w:ascii="NimbusSanL-Regu" w:hAnsi="NimbusSanL-Regu" w:cs="NimbusSanL-Regu"/>
                <w:sz w:val="18"/>
                <w:szCs w:val="18"/>
              </w:rPr>
              <w:t>.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proofErr w:type="spellStart"/>
            <w:r w:rsidR="00777691">
              <w:rPr>
                <w:rFonts w:ascii="NimbusSanL-Regu" w:hAnsi="NimbusSanL-Regu" w:cs="NimbusSanL-Regu"/>
                <w:sz w:val="18"/>
                <w:szCs w:val="18"/>
              </w:rPr>
              <w:t>I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nTASC</w:t>
            </w:r>
            <w:proofErr w:type="spellEnd"/>
            <w:r w:rsidR="00777691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4h, 7a, 7b, 7c, 7f IPTS 3.B, 3.I DF: 1c, 2b, 2d, 3a</w:t>
            </w:r>
          </w:p>
        </w:tc>
        <w:tc>
          <w:tcPr>
            <w:tcW w:w="1710" w:type="dxa"/>
            <w:vAlign w:val="center"/>
          </w:tcPr>
          <w:p w14:paraId="45213128" w14:textId="365F58F3" w:rsidR="00817E2E" w:rsidRDefault="007E46B2" w:rsidP="006B0302">
            <w:pPr>
              <w:jc w:val="center"/>
            </w:pPr>
            <w:r>
              <w:t>69%</w:t>
            </w:r>
          </w:p>
        </w:tc>
        <w:tc>
          <w:tcPr>
            <w:tcW w:w="1710" w:type="dxa"/>
            <w:vAlign w:val="center"/>
          </w:tcPr>
          <w:p w14:paraId="2567A765" w14:textId="40770592" w:rsidR="00817E2E" w:rsidRDefault="007E46B2" w:rsidP="006B0302">
            <w:pPr>
              <w:jc w:val="center"/>
            </w:pPr>
            <w:r>
              <w:t>30%</w:t>
            </w:r>
          </w:p>
        </w:tc>
        <w:tc>
          <w:tcPr>
            <w:tcW w:w="1525" w:type="dxa"/>
            <w:vAlign w:val="center"/>
          </w:tcPr>
          <w:p w14:paraId="148D9BB2" w14:textId="0CDC3669" w:rsidR="00817E2E" w:rsidRDefault="00FC0150" w:rsidP="006B0302">
            <w:pPr>
              <w:jc w:val="center"/>
            </w:pPr>
            <w:r>
              <w:t>1</w:t>
            </w:r>
            <w:r w:rsidR="007E46B2">
              <w:t>%</w:t>
            </w:r>
          </w:p>
        </w:tc>
      </w:tr>
      <w:tr w:rsidR="00817E2E" w14:paraId="38A04C20" w14:textId="77777777" w:rsidTr="006B0302">
        <w:tc>
          <w:tcPr>
            <w:tcW w:w="9445" w:type="dxa"/>
          </w:tcPr>
          <w:p w14:paraId="75D4566D" w14:textId="79C665C4" w:rsidR="00817E2E" w:rsidRPr="00777691" w:rsidRDefault="00817E2E" w:rsidP="00817E2E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s objectives reflect important learning and include assessment criteria. Goals</w:t>
            </w:r>
            <w:r w:rsidR="00777691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and objectives are suitable for whole group learners. Assessments are non-discriminatory.</w:t>
            </w:r>
            <w:r w:rsidR="00777691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1b, 2e, 2c, 4i, 6a, 6b, 6g, 7d, 7e, 7f IPTS 7.A, 7.B, 7.E, 7.I, 7.K, 7.R DF: 1c, 2b, 2d,</w:t>
            </w:r>
          </w:p>
          <w:p w14:paraId="24BF23EF" w14:textId="6E0494FF" w:rsidR="00817E2E" w:rsidRPr="00777691" w:rsidRDefault="00817E2E" w:rsidP="00817E2E">
            <w:pPr>
              <w:rPr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3a</w:t>
            </w:r>
          </w:p>
        </w:tc>
        <w:tc>
          <w:tcPr>
            <w:tcW w:w="1710" w:type="dxa"/>
            <w:vAlign w:val="center"/>
          </w:tcPr>
          <w:p w14:paraId="53D24138" w14:textId="5B759FB1" w:rsidR="00817E2E" w:rsidRDefault="007E46B2" w:rsidP="006B0302">
            <w:pPr>
              <w:jc w:val="center"/>
            </w:pPr>
            <w:r>
              <w:t>76%</w:t>
            </w:r>
          </w:p>
        </w:tc>
        <w:tc>
          <w:tcPr>
            <w:tcW w:w="1710" w:type="dxa"/>
            <w:vAlign w:val="center"/>
          </w:tcPr>
          <w:p w14:paraId="441CE06E" w14:textId="22027218" w:rsidR="00817E2E" w:rsidRDefault="007E46B2" w:rsidP="006B0302">
            <w:pPr>
              <w:jc w:val="center"/>
            </w:pPr>
            <w:r>
              <w:t>23%</w:t>
            </w:r>
          </w:p>
        </w:tc>
        <w:tc>
          <w:tcPr>
            <w:tcW w:w="1525" w:type="dxa"/>
            <w:vAlign w:val="center"/>
          </w:tcPr>
          <w:p w14:paraId="22DAA2B2" w14:textId="5AFC3BE7" w:rsidR="00817E2E" w:rsidRDefault="00FC0150" w:rsidP="006B0302">
            <w:pPr>
              <w:jc w:val="center"/>
            </w:pPr>
            <w:r>
              <w:t>1</w:t>
            </w:r>
            <w:r w:rsidR="007E46B2">
              <w:t>%</w:t>
            </w:r>
          </w:p>
        </w:tc>
      </w:tr>
      <w:tr w:rsidR="00817E2E" w14:paraId="6B015BC4" w14:textId="77777777" w:rsidTr="006B0302">
        <w:tc>
          <w:tcPr>
            <w:tcW w:w="9445" w:type="dxa"/>
          </w:tcPr>
          <w:p w14:paraId="789529B5" w14:textId="50968077" w:rsidR="00817E2E" w:rsidRPr="00777691" w:rsidRDefault="00817E2E" w:rsidP="00777691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uses evidenced based differentiated instructional strategies, activities, and</w:t>
            </w:r>
            <w:r w:rsidR="00777691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materials that are appropriate for diverse learners and are informed by curricular scope</w:t>
            </w:r>
            <w:r w:rsidR="00777691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and sequence.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1b, 2a, 2b, 2f, 4a, 4b, 7b, 7c, 7e, IPTS 2.F, 2.I, 3.Q, 5.B, 5.C, 5.E,</w:t>
            </w:r>
            <w:r w:rsidR="00777691"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5.S DF: 1d, 1e, 1f, 2c, 3b, 3c, 3d, 3e</w:t>
            </w:r>
          </w:p>
        </w:tc>
        <w:tc>
          <w:tcPr>
            <w:tcW w:w="1710" w:type="dxa"/>
            <w:vAlign w:val="center"/>
          </w:tcPr>
          <w:p w14:paraId="0D6E0CE7" w14:textId="4BEE07E2" w:rsidR="00817E2E" w:rsidRDefault="007E46B2" w:rsidP="006B0302">
            <w:pPr>
              <w:jc w:val="center"/>
            </w:pPr>
            <w:r>
              <w:t>74%</w:t>
            </w:r>
          </w:p>
        </w:tc>
        <w:tc>
          <w:tcPr>
            <w:tcW w:w="1710" w:type="dxa"/>
            <w:vAlign w:val="center"/>
          </w:tcPr>
          <w:p w14:paraId="51F1AF0B" w14:textId="0911B937" w:rsidR="00817E2E" w:rsidRDefault="007E46B2" w:rsidP="006B0302">
            <w:pPr>
              <w:jc w:val="center"/>
            </w:pPr>
            <w:r>
              <w:t>25</w:t>
            </w:r>
            <w:r w:rsidR="00B46573">
              <w:t>%</w:t>
            </w:r>
          </w:p>
        </w:tc>
        <w:tc>
          <w:tcPr>
            <w:tcW w:w="1525" w:type="dxa"/>
            <w:vAlign w:val="center"/>
          </w:tcPr>
          <w:p w14:paraId="3FD50A85" w14:textId="672F2C43" w:rsidR="007E46B2" w:rsidRDefault="00FC0150" w:rsidP="007E46B2">
            <w:pPr>
              <w:jc w:val="center"/>
            </w:pPr>
            <w:r>
              <w:t>1</w:t>
            </w:r>
            <w:r w:rsidR="007E46B2">
              <w:t>%</w:t>
            </w:r>
          </w:p>
        </w:tc>
      </w:tr>
      <w:tr w:rsidR="00817E2E" w14:paraId="00B70E7C" w14:textId="77777777" w:rsidTr="006B0302">
        <w:tc>
          <w:tcPr>
            <w:tcW w:w="9445" w:type="dxa"/>
          </w:tcPr>
          <w:p w14:paraId="457A4974" w14:textId="77777777" w:rsidR="00817E2E" w:rsidRPr="00777691" w:rsidRDefault="00817E2E" w:rsidP="00817E2E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uses a variety of strategies and materials/resources, based on data review,</w:t>
            </w:r>
          </w:p>
          <w:p w14:paraId="7F60AEFE" w14:textId="4FDE4F7E" w:rsidR="00817E2E" w:rsidRPr="00777691" w:rsidRDefault="00817E2E" w:rsidP="00817E2E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which were appropriate in accommodating learners</w:t>
            </w:r>
            <w:r w:rsidR="00777691">
              <w:rPr>
                <w:rFonts w:ascii="NimbusSanL-Regu" w:hAnsi="NimbusSanL-Regu" w:cs="NimbusSanL-Regu"/>
                <w:sz w:val="18"/>
                <w:szCs w:val="18"/>
              </w:rPr>
              <w:t>’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academic needs, behavioral needs,</w:t>
            </w:r>
          </w:p>
          <w:p w14:paraId="3B264DE5" w14:textId="77777777" w:rsidR="00817E2E" w:rsidRPr="00777691" w:rsidRDefault="00817E2E" w:rsidP="00817E2E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proofErr w:type="gram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and</w:t>
            </w:r>
            <w:proofErr w:type="gram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experiences.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1a, 1b, 2a, 2b, 2c, 2d, 2e, 2f, 3d, 3e, 7b, 7e, 8a IPTS 4.H, 4.O,</w:t>
            </w:r>
          </w:p>
          <w:p w14:paraId="2E2A6B09" w14:textId="47871B57" w:rsidR="00817E2E" w:rsidRPr="00777691" w:rsidRDefault="00817E2E" w:rsidP="00817E2E">
            <w:pPr>
              <w:rPr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4.Q, 5.E, 5.M DF: 1b, 1c, 1d, 1e, 2d</w:t>
            </w:r>
          </w:p>
        </w:tc>
        <w:tc>
          <w:tcPr>
            <w:tcW w:w="1710" w:type="dxa"/>
            <w:vAlign w:val="center"/>
          </w:tcPr>
          <w:p w14:paraId="2C59036D" w14:textId="15155CE6" w:rsidR="00817E2E" w:rsidRDefault="00B46573" w:rsidP="006B0302">
            <w:pPr>
              <w:jc w:val="center"/>
            </w:pPr>
            <w:r>
              <w:t>82%</w:t>
            </w:r>
          </w:p>
        </w:tc>
        <w:tc>
          <w:tcPr>
            <w:tcW w:w="1710" w:type="dxa"/>
            <w:vAlign w:val="center"/>
          </w:tcPr>
          <w:p w14:paraId="6DE52730" w14:textId="15E36B27" w:rsidR="00817E2E" w:rsidRDefault="00B46573" w:rsidP="006B0302">
            <w:pPr>
              <w:jc w:val="center"/>
            </w:pPr>
            <w:r>
              <w:t>17%</w:t>
            </w:r>
          </w:p>
        </w:tc>
        <w:tc>
          <w:tcPr>
            <w:tcW w:w="1525" w:type="dxa"/>
            <w:vAlign w:val="center"/>
          </w:tcPr>
          <w:p w14:paraId="0B1D5E4B" w14:textId="76F18C7C" w:rsidR="00817E2E" w:rsidRDefault="00B46573" w:rsidP="006B0302">
            <w:pPr>
              <w:jc w:val="center"/>
            </w:pPr>
            <w:r>
              <w:t>1%</w:t>
            </w:r>
          </w:p>
        </w:tc>
      </w:tr>
      <w:tr w:rsidR="00A72054" w14:paraId="3004E9E5" w14:textId="77777777" w:rsidTr="006B0302">
        <w:tc>
          <w:tcPr>
            <w:tcW w:w="9445" w:type="dxa"/>
          </w:tcPr>
          <w:p w14:paraId="13DDBE63" w14:textId="1ADF6A16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lastRenderedPageBreak/>
              <w:br w:type="page"/>
              <w:t>Rubric Element</w:t>
            </w:r>
          </w:p>
        </w:tc>
        <w:tc>
          <w:tcPr>
            <w:tcW w:w="1710" w:type="dxa"/>
            <w:vAlign w:val="center"/>
          </w:tcPr>
          <w:p w14:paraId="07F57B1A" w14:textId="77777777" w:rsidR="00A72054" w:rsidRDefault="00A72054" w:rsidP="00A72054">
            <w:pPr>
              <w:jc w:val="center"/>
            </w:pPr>
            <w:r>
              <w:t>Exceeds Standards</w:t>
            </w:r>
          </w:p>
          <w:p w14:paraId="3CDD86F9" w14:textId="6F805541" w:rsidR="00A72054" w:rsidRDefault="00A72054" w:rsidP="00A72054">
            <w:pPr>
              <w:jc w:val="center"/>
            </w:pPr>
            <w:r>
              <w:t>4-5</w:t>
            </w:r>
          </w:p>
        </w:tc>
        <w:tc>
          <w:tcPr>
            <w:tcW w:w="1710" w:type="dxa"/>
            <w:vAlign w:val="center"/>
          </w:tcPr>
          <w:p w14:paraId="2953A363" w14:textId="77777777" w:rsidR="00A72054" w:rsidRDefault="00A72054" w:rsidP="00A72054">
            <w:pPr>
              <w:jc w:val="center"/>
            </w:pPr>
            <w:r>
              <w:t>Meets Standards</w:t>
            </w:r>
          </w:p>
          <w:p w14:paraId="198FE257" w14:textId="08AFE1B6" w:rsidR="00A72054" w:rsidRDefault="00A72054" w:rsidP="00A72054">
            <w:pPr>
              <w:jc w:val="center"/>
            </w:pPr>
            <w:r>
              <w:t>3</w:t>
            </w:r>
          </w:p>
        </w:tc>
        <w:tc>
          <w:tcPr>
            <w:tcW w:w="1525" w:type="dxa"/>
            <w:vAlign w:val="center"/>
          </w:tcPr>
          <w:p w14:paraId="5E72C74D" w14:textId="77777777" w:rsidR="00A72054" w:rsidRDefault="00A72054" w:rsidP="00A72054">
            <w:pPr>
              <w:jc w:val="center"/>
            </w:pPr>
            <w:r>
              <w:t>Does Not Meet Standards</w:t>
            </w:r>
          </w:p>
          <w:p w14:paraId="3FEADBF4" w14:textId="7454BA0C" w:rsidR="00A72054" w:rsidRDefault="00A72054" w:rsidP="00A72054">
            <w:pPr>
              <w:jc w:val="center"/>
            </w:pPr>
            <w:r>
              <w:t>1-2</w:t>
            </w:r>
          </w:p>
        </w:tc>
      </w:tr>
      <w:tr w:rsidR="00A72054" w14:paraId="699028D8" w14:textId="77777777" w:rsidTr="006B0302">
        <w:tc>
          <w:tcPr>
            <w:tcW w:w="9445" w:type="dxa"/>
          </w:tcPr>
          <w:p w14:paraId="63FAD83C" w14:textId="77777777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s modifications to strategies and materials are evident during instruction.</w:t>
            </w:r>
          </w:p>
          <w:p w14:paraId="09B3571C" w14:textId="29465A6D" w:rsidR="00A72054" w:rsidRPr="00777691" w:rsidRDefault="00A72054" w:rsidP="00A72054">
            <w:pPr>
              <w:rPr>
                <w:sz w:val="18"/>
                <w:szCs w:val="18"/>
              </w:rPr>
            </w:pP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1a, 2a, 2b, 2e, 2f, 4f, 4g IPTS 3.M, 5.G, 5.J DF: 1b, 1e, 2a, 2b, 3c, 3d, 3e</w:t>
            </w:r>
          </w:p>
        </w:tc>
        <w:tc>
          <w:tcPr>
            <w:tcW w:w="1710" w:type="dxa"/>
            <w:vAlign w:val="center"/>
          </w:tcPr>
          <w:p w14:paraId="40217928" w14:textId="4265CBC0" w:rsidR="00A72054" w:rsidRDefault="004A4722" w:rsidP="00A72054">
            <w:pPr>
              <w:jc w:val="center"/>
            </w:pPr>
            <w:r>
              <w:t>80%</w:t>
            </w:r>
          </w:p>
        </w:tc>
        <w:tc>
          <w:tcPr>
            <w:tcW w:w="1710" w:type="dxa"/>
            <w:vAlign w:val="center"/>
          </w:tcPr>
          <w:p w14:paraId="5F31CA69" w14:textId="316BD1C8" w:rsidR="00A72054" w:rsidRDefault="00B46573" w:rsidP="00A72054">
            <w:pPr>
              <w:jc w:val="center"/>
            </w:pPr>
            <w:r>
              <w:t>20%</w:t>
            </w:r>
          </w:p>
        </w:tc>
        <w:tc>
          <w:tcPr>
            <w:tcW w:w="1525" w:type="dxa"/>
            <w:vAlign w:val="center"/>
          </w:tcPr>
          <w:p w14:paraId="142EFC42" w14:textId="74E7612F" w:rsidR="00A72054" w:rsidRDefault="00B46573" w:rsidP="00A72054">
            <w:pPr>
              <w:jc w:val="center"/>
            </w:pPr>
            <w:r>
              <w:t>0%</w:t>
            </w:r>
          </w:p>
        </w:tc>
      </w:tr>
      <w:tr w:rsidR="00A72054" w14:paraId="1FE66D9E" w14:textId="77777777" w:rsidTr="006B0302">
        <w:tc>
          <w:tcPr>
            <w:tcW w:w="9445" w:type="dxa"/>
          </w:tcPr>
          <w:p w14:paraId="754DAA8D" w14:textId="1E9C6B9E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aligns the content knowledge/skills and methods of assessment with the</w:t>
            </w:r>
          </w:p>
          <w:p w14:paraId="733F056F" w14:textId="3F94D57D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proofErr w:type="gram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learning</w:t>
            </w:r>
            <w:proofErr w:type="gram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standards.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4a, 4d, 4f, 7a, 7c IPTS 2.J, 2.P, 7.B, 7.E DF: 1a, 1b, 1f, 3d, 3e</w:t>
            </w:r>
          </w:p>
        </w:tc>
        <w:tc>
          <w:tcPr>
            <w:tcW w:w="1710" w:type="dxa"/>
            <w:vAlign w:val="center"/>
          </w:tcPr>
          <w:p w14:paraId="53C05568" w14:textId="406777CB" w:rsidR="00A72054" w:rsidRDefault="004D7E0E" w:rsidP="00A72054">
            <w:pPr>
              <w:jc w:val="center"/>
            </w:pPr>
            <w:r>
              <w:t>79%</w:t>
            </w:r>
          </w:p>
        </w:tc>
        <w:tc>
          <w:tcPr>
            <w:tcW w:w="1710" w:type="dxa"/>
            <w:vAlign w:val="center"/>
          </w:tcPr>
          <w:p w14:paraId="149947C8" w14:textId="024AE0CF" w:rsidR="00A72054" w:rsidRDefault="000C3EEE" w:rsidP="00A72054">
            <w:pPr>
              <w:jc w:val="center"/>
            </w:pPr>
            <w:r>
              <w:t>21%</w:t>
            </w:r>
          </w:p>
        </w:tc>
        <w:tc>
          <w:tcPr>
            <w:tcW w:w="1525" w:type="dxa"/>
            <w:vAlign w:val="center"/>
          </w:tcPr>
          <w:p w14:paraId="576384B1" w14:textId="0BD952F7" w:rsidR="00A72054" w:rsidRDefault="00F847B5" w:rsidP="00A72054">
            <w:pPr>
              <w:jc w:val="center"/>
            </w:pPr>
            <w:r>
              <w:t>0%</w:t>
            </w:r>
          </w:p>
        </w:tc>
      </w:tr>
      <w:tr w:rsidR="00A72054" w14:paraId="60025BE4" w14:textId="77777777" w:rsidTr="006B0302">
        <w:tc>
          <w:tcPr>
            <w:tcW w:w="9445" w:type="dxa"/>
          </w:tcPr>
          <w:p w14:paraId="7EF2AB41" w14:textId="77777777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maintains useful and accurate records of learners academic and behavioral</w:t>
            </w:r>
          </w:p>
          <w:p w14:paraId="07AB2687" w14:textId="4B6A8A88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proofErr w:type="gram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performance</w:t>
            </w:r>
            <w:proofErr w:type="gram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on short and long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range instructional goals.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1a, 6a, 6b, 7f IPTS 7.M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,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DF: 4b</w:t>
            </w:r>
          </w:p>
        </w:tc>
        <w:tc>
          <w:tcPr>
            <w:tcW w:w="1710" w:type="dxa"/>
            <w:vAlign w:val="center"/>
          </w:tcPr>
          <w:p w14:paraId="4BF1B447" w14:textId="7BA88572" w:rsidR="00A72054" w:rsidRDefault="004D7E0E" w:rsidP="00A72054">
            <w:pPr>
              <w:jc w:val="center"/>
            </w:pPr>
            <w:r>
              <w:t>64%</w:t>
            </w:r>
          </w:p>
        </w:tc>
        <w:tc>
          <w:tcPr>
            <w:tcW w:w="1710" w:type="dxa"/>
            <w:vAlign w:val="center"/>
          </w:tcPr>
          <w:p w14:paraId="129DDA38" w14:textId="00236447" w:rsidR="00A72054" w:rsidRDefault="000C3EEE" w:rsidP="00A72054">
            <w:pPr>
              <w:jc w:val="center"/>
            </w:pPr>
            <w:r>
              <w:t>35%</w:t>
            </w:r>
          </w:p>
        </w:tc>
        <w:tc>
          <w:tcPr>
            <w:tcW w:w="1525" w:type="dxa"/>
            <w:vAlign w:val="center"/>
          </w:tcPr>
          <w:p w14:paraId="4CC94254" w14:textId="48DAD5B1" w:rsidR="00A72054" w:rsidRDefault="00FC0150" w:rsidP="00A72054">
            <w:pPr>
              <w:jc w:val="center"/>
            </w:pPr>
            <w:r>
              <w:t>1</w:t>
            </w:r>
            <w:r w:rsidR="00F847B5">
              <w:t>%</w:t>
            </w:r>
          </w:p>
        </w:tc>
      </w:tr>
      <w:tr w:rsidR="00A72054" w14:paraId="5DEAC668" w14:textId="77777777" w:rsidTr="006B0302">
        <w:tc>
          <w:tcPr>
            <w:tcW w:w="9445" w:type="dxa"/>
          </w:tcPr>
          <w:p w14:paraId="5981EA34" w14:textId="38ACB47C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collects diagnostic, formative, and summative data using a variety of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informal and formal assessments. Data are used to monitor student learning.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1a,</w:t>
            </w:r>
          </w:p>
          <w:p w14:paraId="5577AE2D" w14:textId="6802B783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6a, 6b, 6e, 6g IPTS 1.H, 7.E, 7.K DF: 1f, 3d</w:t>
            </w:r>
          </w:p>
        </w:tc>
        <w:tc>
          <w:tcPr>
            <w:tcW w:w="1710" w:type="dxa"/>
            <w:vAlign w:val="center"/>
          </w:tcPr>
          <w:p w14:paraId="6B61E75C" w14:textId="161BD447" w:rsidR="00A72054" w:rsidRDefault="004D7E0E" w:rsidP="00A72054">
            <w:pPr>
              <w:jc w:val="center"/>
            </w:pPr>
            <w:r>
              <w:t>69%</w:t>
            </w:r>
          </w:p>
        </w:tc>
        <w:tc>
          <w:tcPr>
            <w:tcW w:w="1710" w:type="dxa"/>
            <w:vAlign w:val="center"/>
          </w:tcPr>
          <w:p w14:paraId="25F5ADA8" w14:textId="3B751238" w:rsidR="00A72054" w:rsidRDefault="004D7E0E" w:rsidP="00A72054">
            <w:pPr>
              <w:jc w:val="center"/>
            </w:pPr>
            <w:r>
              <w:t>30%</w:t>
            </w:r>
          </w:p>
        </w:tc>
        <w:tc>
          <w:tcPr>
            <w:tcW w:w="1525" w:type="dxa"/>
            <w:vAlign w:val="center"/>
          </w:tcPr>
          <w:p w14:paraId="5D13DBF9" w14:textId="4CECDAD7" w:rsidR="00A72054" w:rsidRDefault="00FC0150" w:rsidP="00A72054">
            <w:pPr>
              <w:jc w:val="center"/>
            </w:pPr>
            <w:r>
              <w:t>1</w:t>
            </w:r>
            <w:r w:rsidR="00F847B5">
              <w:t>%</w:t>
            </w:r>
          </w:p>
        </w:tc>
      </w:tr>
      <w:tr w:rsidR="00A72054" w14:paraId="7CF442A5" w14:textId="77777777" w:rsidTr="006B0302">
        <w:tc>
          <w:tcPr>
            <w:tcW w:w="9445" w:type="dxa"/>
          </w:tcPr>
          <w:p w14:paraId="41D62F2B" w14:textId="77777777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collects pre-test and post-test data using objective informal/formal data</w:t>
            </w:r>
          </w:p>
          <w:p w14:paraId="6B4FECDC" w14:textId="48165941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proofErr w:type="gram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collection</w:t>
            </w:r>
            <w:proofErr w:type="gram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procedures. Data acquired from learners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>’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responses are in alignment with short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and long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range instructional goals.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1a, 6a, 6b, 6e, 6g IPTS 7.D, 7.E, 7.F, 7.G, 7.I,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7.J, 7.K, 7M DF: 1f, 4b</w:t>
            </w:r>
          </w:p>
        </w:tc>
        <w:tc>
          <w:tcPr>
            <w:tcW w:w="1710" w:type="dxa"/>
            <w:vAlign w:val="center"/>
          </w:tcPr>
          <w:p w14:paraId="743EA596" w14:textId="32BCC3CA" w:rsidR="00A72054" w:rsidRDefault="00FC0150" w:rsidP="00A72054">
            <w:pPr>
              <w:jc w:val="center"/>
            </w:pPr>
            <w:r>
              <w:t>61%</w:t>
            </w:r>
          </w:p>
        </w:tc>
        <w:tc>
          <w:tcPr>
            <w:tcW w:w="1710" w:type="dxa"/>
            <w:vAlign w:val="center"/>
          </w:tcPr>
          <w:p w14:paraId="22635A77" w14:textId="07A44C29" w:rsidR="00A72054" w:rsidRDefault="004D7E0E" w:rsidP="00A72054">
            <w:pPr>
              <w:jc w:val="center"/>
            </w:pPr>
            <w:r>
              <w:t>37%</w:t>
            </w:r>
          </w:p>
        </w:tc>
        <w:tc>
          <w:tcPr>
            <w:tcW w:w="1525" w:type="dxa"/>
            <w:vAlign w:val="center"/>
          </w:tcPr>
          <w:p w14:paraId="58923B28" w14:textId="2C48642A" w:rsidR="00A72054" w:rsidRDefault="00F847B5" w:rsidP="00A72054">
            <w:pPr>
              <w:jc w:val="center"/>
            </w:pPr>
            <w:r>
              <w:t>2%</w:t>
            </w:r>
          </w:p>
        </w:tc>
      </w:tr>
      <w:tr w:rsidR="00A72054" w14:paraId="7312F108" w14:textId="77777777" w:rsidTr="006B0302">
        <w:tc>
          <w:tcPr>
            <w:tcW w:w="9445" w:type="dxa"/>
          </w:tcPr>
          <w:p w14:paraId="41B65B73" w14:textId="77777777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demonstrates a positive impact on the academic performance and behavior</w:t>
            </w:r>
          </w:p>
          <w:p w14:paraId="439FA50D" w14:textId="0BDF23A6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proofErr w:type="gram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of</w:t>
            </w:r>
            <w:proofErr w:type="gram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learners.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9c, IPTS 5.G, 6.J, 7.B, 7.E, 7.G, 7.I, 7.K DF: 1f, 3d, 4b</w:t>
            </w:r>
          </w:p>
        </w:tc>
        <w:tc>
          <w:tcPr>
            <w:tcW w:w="1710" w:type="dxa"/>
            <w:vAlign w:val="center"/>
          </w:tcPr>
          <w:p w14:paraId="5E8BBE29" w14:textId="45FC43CF" w:rsidR="00A72054" w:rsidRDefault="00FC0150" w:rsidP="00A72054">
            <w:pPr>
              <w:jc w:val="center"/>
            </w:pPr>
            <w:r>
              <w:t>83%</w:t>
            </w:r>
          </w:p>
        </w:tc>
        <w:tc>
          <w:tcPr>
            <w:tcW w:w="1710" w:type="dxa"/>
            <w:vAlign w:val="center"/>
          </w:tcPr>
          <w:p w14:paraId="320B0DF3" w14:textId="0069864D" w:rsidR="00A72054" w:rsidRDefault="004D7E0E" w:rsidP="00A72054">
            <w:pPr>
              <w:jc w:val="center"/>
            </w:pPr>
            <w:r>
              <w:t>16%</w:t>
            </w:r>
          </w:p>
        </w:tc>
        <w:tc>
          <w:tcPr>
            <w:tcW w:w="1525" w:type="dxa"/>
            <w:vAlign w:val="center"/>
          </w:tcPr>
          <w:p w14:paraId="6D23020F" w14:textId="52C3F347" w:rsidR="00A72054" w:rsidRDefault="00FC0150" w:rsidP="00A72054">
            <w:pPr>
              <w:jc w:val="center"/>
            </w:pPr>
            <w:r>
              <w:t>1</w:t>
            </w:r>
            <w:r w:rsidR="00F847B5">
              <w:t>%</w:t>
            </w:r>
          </w:p>
        </w:tc>
      </w:tr>
      <w:tr w:rsidR="00A72054" w14:paraId="785D3577" w14:textId="77777777" w:rsidTr="006B0302">
        <w:tc>
          <w:tcPr>
            <w:tcW w:w="9445" w:type="dxa"/>
          </w:tcPr>
          <w:p w14:paraId="00E9C3C8" w14:textId="77777777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uses classroom observation, information about students, pedagogical</w:t>
            </w:r>
          </w:p>
          <w:p w14:paraId="16A197CA" w14:textId="4B0F860E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proofErr w:type="gram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knowledge</w:t>
            </w:r>
            <w:proofErr w:type="gram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, and research as sources of reflection and revision of practice.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1a, 2b,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7f, 9d, 9c IPTS 1.A, 1.B, 1.C, 1.D, 1.E, 1.H, 1.L, 2.A, 2.B, 2.C, 2.E, 3.C, 8.K, 8.L, 9.A , 9.K,</w:t>
            </w:r>
          </w:p>
          <w:p w14:paraId="6921FA92" w14:textId="5048DB50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9.O, 9.P DF: 1a, 1b, 1d, 1e, 4a, 4b, 4e, 4f</w:t>
            </w:r>
          </w:p>
        </w:tc>
        <w:tc>
          <w:tcPr>
            <w:tcW w:w="1710" w:type="dxa"/>
            <w:vAlign w:val="center"/>
          </w:tcPr>
          <w:p w14:paraId="57969F29" w14:textId="0E235BB0" w:rsidR="00A72054" w:rsidRDefault="00FC0150" w:rsidP="00A72054">
            <w:pPr>
              <w:jc w:val="center"/>
            </w:pPr>
            <w:r>
              <w:t>72%</w:t>
            </w:r>
          </w:p>
        </w:tc>
        <w:tc>
          <w:tcPr>
            <w:tcW w:w="1710" w:type="dxa"/>
            <w:vAlign w:val="center"/>
          </w:tcPr>
          <w:p w14:paraId="4864C5DB" w14:textId="7A37D1A3" w:rsidR="00A72054" w:rsidRDefault="004D7E0E" w:rsidP="00A72054">
            <w:pPr>
              <w:jc w:val="center"/>
            </w:pPr>
            <w:r>
              <w:t>27%</w:t>
            </w:r>
          </w:p>
        </w:tc>
        <w:tc>
          <w:tcPr>
            <w:tcW w:w="1525" w:type="dxa"/>
            <w:vAlign w:val="center"/>
          </w:tcPr>
          <w:p w14:paraId="5D0733DB" w14:textId="5E262D46" w:rsidR="00A72054" w:rsidRDefault="00FC0150" w:rsidP="00A72054">
            <w:pPr>
              <w:jc w:val="center"/>
            </w:pPr>
            <w:r>
              <w:t>1</w:t>
            </w:r>
            <w:r w:rsidR="00F847B5">
              <w:t>%</w:t>
            </w:r>
          </w:p>
        </w:tc>
      </w:tr>
      <w:tr w:rsidR="00A72054" w14:paraId="6DF856C9" w14:textId="77777777" w:rsidTr="006B0302">
        <w:tc>
          <w:tcPr>
            <w:tcW w:w="9445" w:type="dxa"/>
          </w:tcPr>
          <w:p w14:paraId="7FA78CCC" w14:textId="66B4F426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articulates how choices in instructional planning and implementation impact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student learning. Recommendations for changing candidate behaviors to increase impact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on group learning are cited.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9d, 9c IPTS 3.D, 3.G, 4.A, 4.B, 4.C, 4.D, 7.G, 7.J, 9.K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,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DF: 1a, 1b, 1c, 1d, 1e, 1f, 2a, 2b, 2c, 2d, 2e, 3d, 3e, 4a, 4f</w:t>
            </w:r>
          </w:p>
        </w:tc>
        <w:tc>
          <w:tcPr>
            <w:tcW w:w="1710" w:type="dxa"/>
            <w:vAlign w:val="center"/>
          </w:tcPr>
          <w:p w14:paraId="59D171E8" w14:textId="1A865AB7" w:rsidR="00A72054" w:rsidRDefault="00FC0150" w:rsidP="00A72054">
            <w:pPr>
              <w:jc w:val="center"/>
            </w:pPr>
            <w:r>
              <w:t>73%</w:t>
            </w:r>
          </w:p>
        </w:tc>
        <w:tc>
          <w:tcPr>
            <w:tcW w:w="1710" w:type="dxa"/>
            <w:vAlign w:val="center"/>
          </w:tcPr>
          <w:p w14:paraId="530BBE9A" w14:textId="74D67E0A" w:rsidR="00A72054" w:rsidRDefault="004D7E0E" w:rsidP="00A72054">
            <w:pPr>
              <w:jc w:val="center"/>
            </w:pPr>
            <w:r>
              <w:t>26%</w:t>
            </w:r>
          </w:p>
        </w:tc>
        <w:tc>
          <w:tcPr>
            <w:tcW w:w="1525" w:type="dxa"/>
            <w:vAlign w:val="center"/>
          </w:tcPr>
          <w:p w14:paraId="049BF450" w14:textId="29A73D20" w:rsidR="00A72054" w:rsidRDefault="00F847B5" w:rsidP="00A72054">
            <w:pPr>
              <w:jc w:val="center"/>
            </w:pPr>
            <w:r>
              <w:t>1%</w:t>
            </w:r>
          </w:p>
        </w:tc>
      </w:tr>
      <w:tr w:rsidR="00A72054" w14:paraId="44D64DFA" w14:textId="77777777" w:rsidTr="006B0302">
        <w:tc>
          <w:tcPr>
            <w:tcW w:w="9445" w:type="dxa"/>
          </w:tcPr>
          <w:p w14:paraId="6608D145" w14:textId="32DB55A5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uses information about students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>’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families, cultures, and communities to</w:t>
            </w:r>
          </w:p>
          <w:p w14:paraId="7B5125FF" w14:textId="64939C10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proofErr w:type="gram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connect</w:t>
            </w:r>
            <w:proofErr w:type="gram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instruction to students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>’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experiences.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1c, 3f, 5g, 9e, 10d IPTS 1.A, 1.C, 1.I,</w:t>
            </w:r>
          </w:p>
          <w:p w14:paraId="7465D1D8" w14:textId="732B90FC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1.L, 2.N, 3.C, 3.K, 4.B, 5.M DF: 1b, 3d, 4c</w:t>
            </w:r>
          </w:p>
        </w:tc>
        <w:tc>
          <w:tcPr>
            <w:tcW w:w="1710" w:type="dxa"/>
            <w:vAlign w:val="center"/>
          </w:tcPr>
          <w:p w14:paraId="01303E90" w14:textId="03FAB379" w:rsidR="00A72054" w:rsidRDefault="00FC0150" w:rsidP="00A72054">
            <w:pPr>
              <w:jc w:val="center"/>
            </w:pPr>
            <w:r>
              <w:t>71%</w:t>
            </w:r>
          </w:p>
        </w:tc>
        <w:tc>
          <w:tcPr>
            <w:tcW w:w="1710" w:type="dxa"/>
            <w:vAlign w:val="center"/>
          </w:tcPr>
          <w:p w14:paraId="32DCCDCA" w14:textId="76BB38D9" w:rsidR="00A72054" w:rsidRDefault="004D7E0E" w:rsidP="00A72054">
            <w:pPr>
              <w:jc w:val="center"/>
            </w:pPr>
            <w:r>
              <w:t>29%</w:t>
            </w:r>
          </w:p>
        </w:tc>
        <w:tc>
          <w:tcPr>
            <w:tcW w:w="1525" w:type="dxa"/>
            <w:vAlign w:val="center"/>
          </w:tcPr>
          <w:p w14:paraId="5BCF900E" w14:textId="3B0AA32F" w:rsidR="00A72054" w:rsidRDefault="00F847B5" w:rsidP="00A72054">
            <w:pPr>
              <w:jc w:val="center"/>
            </w:pPr>
            <w:r>
              <w:t>0%</w:t>
            </w:r>
          </w:p>
        </w:tc>
      </w:tr>
      <w:tr w:rsidR="00A72054" w14:paraId="49D03D93" w14:textId="77777777" w:rsidTr="006B0302">
        <w:tc>
          <w:tcPr>
            <w:tcW w:w="9445" w:type="dxa"/>
          </w:tcPr>
          <w:p w14:paraId="551E48FA" w14:textId="77777777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uses a variety of means/strategies to effectively communicate with learners</w:t>
            </w:r>
          </w:p>
          <w:p w14:paraId="437658B1" w14:textId="09D06633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proofErr w:type="gram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with</w:t>
            </w:r>
            <w:proofErr w:type="gram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diverse learning needs, cultural background, and life experiences.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1c, 2e, 2f,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 </w:t>
            </w: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3f, 5g, 9e, 10d IPTS 1.D, 1.E, 1.H, 3.C, 3.K, 6.E DF: 2a, 3a, 3c</w:t>
            </w:r>
          </w:p>
        </w:tc>
        <w:tc>
          <w:tcPr>
            <w:tcW w:w="1710" w:type="dxa"/>
            <w:vAlign w:val="center"/>
          </w:tcPr>
          <w:p w14:paraId="2E3549D4" w14:textId="49F95B27" w:rsidR="00A72054" w:rsidRDefault="00FC0150" w:rsidP="00A72054">
            <w:pPr>
              <w:jc w:val="center"/>
            </w:pPr>
            <w:r>
              <w:t>75%</w:t>
            </w:r>
          </w:p>
        </w:tc>
        <w:tc>
          <w:tcPr>
            <w:tcW w:w="1710" w:type="dxa"/>
            <w:vAlign w:val="center"/>
          </w:tcPr>
          <w:p w14:paraId="4D5E2773" w14:textId="4B8880E3" w:rsidR="00A72054" w:rsidRDefault="004D7E0E" w:rsidP="00A72054">
            <w:pPr>
              <w:jc w:val="center"/>
            </w:pPr>
            <w:r>
              <w:t>24%</w:t>
            </w:r>
          </w:p>
        </w:tc>
        <w:tc>
          <w:tcPr>
            <w:tcW w:w="1525" w:type="dxa"/>
            <w:vAlign w:val="center"/>
          </w:tcPr>
          <w:p w14:paraId="301C5406" w14:textId="4749349C" w:rsidR="00A72054" w:rsidRDefault="00FC0150" w:rsidP="00A72054">
            <w:pPr>
              <w:jc w:val="center"/>
            </w:pPr>
            <w:r>
              <w:t>1</w:t>
            </w:r>
            <w:r w:rsidR="00F847B5">
              <w:t>%</w:t>
            </w:r>
          </w:p>
        </w:tc>
      </w:tr>
      <w:tr w:rsidR="00A72054" w14:paraId="6252D23B" w14:textId="77777777" w:rsidTr="006B0302">
        <w:tc>
          <w:tcPr>
            <w:tcW w:w="9445" w:type="dxa"/>
          </w:tcPr>
          <w:p w14:paraId="0F7ECC41" w14:textId="77777777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Candidate designs, implements, and assesses student learning activities that integrate</w:t>
            </w:r>
          </w:p>
          <w:p w14:paraId="532A1FAE" w14:textId="0E6E8AC5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proofErr w:type="gram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computers/technology</w:t>
            </w:r>
            <w:proofErr w:type="gram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.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2f, 3g, 6i IPTS 1.G, 2.O, 3.E, 4.M, 5.C , 5.N, 5.O DF: 1d, 3d</w:t>
            </w:r>
          </w:p>
        </w:tc>
        <w:tc>
          <w:tcPr>
            <w:tcW w:w="1710" w:type="dxa"/>
            <w:vAlign w:val="center"/>
          </w:tcPr>
          <w:p w14:paraId="120E2F74" w14:textId="63368FDD" w:rsidR="00A72054" w:rsidRDefault="00FC0150" w:rsidP="00A72054">
            <w:pPr>
              <w:jc w:val="center"/>
            </w:pPr>
            <w:r>
              <w:t>76%</w:t>
            </w:r>
          </w:p>
        </w:tc>
        <w:tc>
          <w:tcPr>
            <w:tcW w:w="1710" w:type="dxa"/>
            <w:vAlign w:val="center"/>
          </w:tcPr>
          <w:p w14:paraId="453F356E" w14:textId="0D52B138" w:rsidR="00A72054" w:rsidRDefault="004D7E0E" w:rsidP="00A72054">
            <w:pPr>
              <w:jc w:val="center"/>
            </w:pPr>
            <w:r>
              <w:t>23%</w:t>
            </w:r>
          </w:p>
        </w:tc>
        <w:tc>
          <w:tcPr>
            <w:tcW w:w="1525" w:type="dxa"/>
            <w:vAlign w:val="center"/>
          </w:tcPr>
          <w:p w14:paraId="24F190F5" w14:textId="4049BDEE" w:rsidR="00A72054" w:rsidRDefault="00FC0150" w:rsidP="00A72054">
            <w:pPr>
              <w:jc w:val="center"/>
            </w:pPr>
            <w:r>
              <w:t>1</w:t>
            </w:r>
            <w:r w:rsidR="00F847B5">
              <w:t>%</w:t>
            </w:r>
          </w:p>
        </w:tc>
      </w:tr>
      <w:tr w:rsidR="00A72054" w14:paraId="7C3DEDA4" w14:textId="77777777" w:rsidTr="006B0302">
        <w:tc>
          <w:tcPr>
            <w:tcW w:w="9445" w:type="dxa"/>
          </w:tcPr>
          <w:p w14:paraId="74473EC3" w14:textId="77777777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Candidate uses technology to analyze, organize, and display data. </w:t>
            </w:r>
            <w:proofErr w:type="spellStart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InTASC</w:t>
            </w:r>
            <w:proofErr w:type="spellEnd"/>
            <w:r w:rsidRPr="00777691">
              <w:rPr>
                <w:rFonts w:ascii="NimbusSanL-Regu" w:hAnsi="NimbusSanL-Regu" w:cs="NimbusSanL-Regu"/>
                <w:sz w:val="18"/>
                <w:szCs w:val="18"/>
              </w:rPr>
              <w:t xml:space="preserve"> 6i, 9f IPTS</w:t>
            </w:r>
          </w:p>
          <w:p w14:paraId="461FC638" w14:textId="6C3FAB09" w:rsidR="00A72054" w:rsidRPr="00777691" w:rsidRDefault="00A72054" w:rsidP="00A72054">
            <w:pPr>
              <w:autoSpaceDE w:val="0"/>
              <w:autoSpaceDN w:val="0"/>
              <w:adjustRightInd w:val="0"/>
              <w:rPr>
                <w:rFonts w:ascii="NimbusSanL-Regu" w:hAnsi="NimbusSanL-Regu" w:cs="NimbusSanL-Regu"/>
                <w:sz w:val="18"/>
                <w:szCs w:val="18"/>
              </w:rPr>
            </w:pPr>
            <w:r w:rsidRPr="00777691">
              <w:rPr>
                <w:rFonts w:ascii="NimbusSanL-Regu" w:hAnsi="NimbusSanL-Regu" w:cs="NimbusSanL-Regu"/>
                <w:sz w:val="18"/>
                <w:szCs w:val="18"/>
              </w:rPr>
              <w:t>5.O, 7.A, 7.O, 8.M , 9.M DF: 4b</w:t>
            </w:r>
          </w:p>
        </w:tc>
        <w:tc>
          <w:tcPr>
            <w:tcW w:w="1710" w:type="dxa"/>
            <w:vAlign w:val="center"/>
          </w:tcPr>
          <w:p w14:paraId="4C041F4B" w14:textId="1BF55CB7" w:rsidR="00A72054" w:rsidRDefault="00FC0150" w:rsidP="00A72054">
            <w:pPr>
              <w:jc w:val="center"/>
            </w:pPr>
            <w:r>
              <w:t>69%</w:t>
            </w:r>
          </w:p>
        </w:tc>
        <w:tc>
          <w:tcPr>
            <w:tcW w:w="1710" w:type="dxa"/>
            <w:vAlign w:val="center"/>
          </w:tcPr>
          <w:p w14:paraId="55316EFD" w14:textId="12741832" w:rsidR="00A72054" w:rsidRDefault="004D7E0E" w:rsidP="00A72054">
            <w:pPr>
              <w:jc w:val="center"/>
            </w:pPr>
            <w:r>
              <w:t>29%</w:t>
            </w:r>
          </w:p>
        </w:tc>
        <w:tc>
          <w:tcPr>
            <w:tcW w:w="1525" w:type="dxa"/>
            <w:vAlign w:val="center"/>
          </w:tcPr>
          <w:p w14:paraId="647BCB95" w14:textId="3A48DC56" w:rsidR="00A72054" w:rsidRDefault="000C3EEE" w:rsidP="00A72054">
            <w:pPr>
              <w:jc w:val="center"/>
            </w:pPr>
            <w:r>
              <w:t>2%</w:t>
            </w:r>
          </w:p>
        </w:tc>
      </w:tr>
    </w:tbl>
    <w:p w14:paraId="6AD93F3C" w14:textId="77777777" w:rsidR="00817E2E" w:rsidRDefault="00817E2E"/>
    <w:sectPr w:rsidR="00817E2E" w:rsidSect="00817E2E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45CC9" w14:textId="77777777" w:rsidR="001601BF" w:rsidRDefault="001601BF" w:rsidP="00A605EE">
      <w:pPr>
        <w:spacing w:after="0" w:line="240" w:lineRule="auto"/>
      </w:pPr>
      <w:r>
        <w:separator/>
      </w:r>
    </w:p>
  </w:endnote>
  <w:endnote w:type="continuationSeparator" w:id="0">
    <w:p w14:paraId="4A7A2A32" w14:textId="77777777" w:rsidR="001601BF" w:rsidRDefault="001601BF" w:rsidP="00A6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San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35944" w14:textId="77777777" w:rsidR="001601BF" w:rsidRDefault="001601BF" w:rsidP="00A605EE">
      <w:pPr>
        <w:spacing w:after="0" w:line="240" w:lineRule="auto"/>
      </w:pPr>
      <w:r>
        <w:separator/>
      </w:r>
    </w:p>
  </w:footnote>
  <w:footnote w:type="continuationSeparator" w:id="0">
    <w:p w14:paraId="4AF9A6B6" w14:textId="77777777" w:rsidR="001601BF" w:rsidRDefault="001601BF" w:rsidP="00A6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870D7" w14:textId="747BE106" w:rsidR="00A605EE" w:rsidRDefault="00937AEA" w:rsidP="00937AEA">
    <w:pPr>
      <w:pStyle w:val="Header"/>
      <w:jc w:val="center"/>
      <w:rPr>
        <w:b/>
        <w:bCs/>
        <w:sz w:val="24"/>
        <w:szCs w:val="24"/>
      </w:rPr>
    </w:pPr>
    <w:r w:rsidRPr="00937AEA">
      <w:rPr>
        <w:b/>
        <w:bCs/>
        <w:sz w:val="24"/>
        <w:szCs w:val="24"/>
      </w:rPr>
      <w:t>202</w:t>
    </w:r>
    <w:r w:rsidR="003538CF">
      <w:rPr>
        <w:b/>
        <w:bCs/>
        <w:sz w:val="24"/>
        <w:szCs w:val="24"/>
      </w:rPr>
      <w:t>1</w:t>
    </w:r>
    <w:r w:rsidRPr="00937AEA">
      <w:rPr>
        <w:b/>
        <w:bCs/>
        <w:sz w:val="24"/>
        <w:szCs w:val="24"/>
      </w:rPr>
      <w:t>-202</w:t>
    </w:r>
    <w:r w:rsidR="003538CF">
      <w:rPr>
        <w:b/>
        <w:bCs/>
        <w:sz w:val="24"/>
        <w:szCs w:val="24"/>
      </w:rPr>
      <w:t>2</w:t>
    </w:r>
    <w:r w:rsidR="0070093B">
      <w:rPr>
        <w:b/>
        <w:bCs/>
        <w:sz w:val="24"/>
        <w:szCs w:val="24"/>
      </w:rPr>
      <w:t xml:space="preserve"> EIU Candidate</w:t>
    </w:r>
    <w:r w:rsidRPr="00937AEA">
      <w:rPr>
        <w:b/>
        <w:bCs/>
        <w:sz w:val="24"/>
        <w:szCs w:val="24"/>
      </w:rPr>
      <w:t xml:space="preserve"> </w:t>
    </w:r>
    <w:r w:rsidR="00A605EE" w:rsidRPr="00937AEA">
      <w:rPr>
        <w:b/>
        <w:bCs/>
        <w:sz w:val="24"/>
        <w:szCs w:val="24"/>
      </w:rPr>
      <w:t>Impact on P-12 Data</w:t>
    </w:r>
  </w:p>
  <w:p w14:paraId="6A9EE8BA" w14:textId="6D53260C" w:rsidR="00136A64" w:rsidRDefault="00136A64" w:rsidP="00937AEA">
    <w:pPr>
      <w:pStyle w:val="Header"/>
      <w:jc w:val="center"/>
      <w:rPr>
        <w:b/>
        <w:bCs/>
        <w:sz w:val="24"/>
        <w:szCs w:val="24"/>
      </w:rPr>
    </w:pPr>
  </w:p>
  <w:p w14:paraId="78DF6D16" w14:textId="77777777" w:rsidR="00A605EE" w:rsidRDefault="00A605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2E"/>
    <w:rsid w:val="000C3EEE"/>
    <w:rsid w:val="000E4DCE"/>
    <w:rsid w:val="00126727"/>
    <w:rsid w:val="00136A64"/>
    <w:rsid w:val="001601BF"/>
    <w:rsid w:val="001D4D0F"/>
    <w:rsid w:val="002B2DCD"/>
    <w:rsid w:val="00315E08"/>
    <w:rsid w:val="003538CF"/>
    <w:rsid w:val="004A4722"/>
    <w:rsid w:val="004D7E0E"/>
    <w:rsid w:val="0062046E"/>
    <w:rsid w:val="006B0302"/>
    <w:rsid w:val="0070093B"/>
    <w:rsid w:val="00711363"/>
    <w:rsid w:val="00777691"/>
    <w:rsid w:val="007850BE"/>
    <w:rsid w:val="007C5FC1"/>
    <w:rsid w:val="007E46B2"/>
    <w:rsid w:val="00817E2E"/>
    <w:rsid w:val="0084386C"/>
    <w:rsid w:val="00892319"/>
    <w:rsid w:val="00937AEA"/>
    <w:rsid w:val="009C56A9"/>
    <w:rsid w:val="00A605EE"/>
    <w:rsid w:val="00A72054"/>
    <w:rsid w:val="00AA2FC7"/>
    <w:rsid w:val="00AB70EB"/>
    <w:rsid w:val="00AF40B7"/>
    <w:rsid w:val="00B46573"/>
    <w:rsid w:val="00BB7E96"/>
    <w:rsid w:val="00D25C1F"/>
    <w:rsid w:val="00DA3C17"/>
    <w:rsid w:val="00EB4C44"/>
    <w:rsid w:val="00EC7490"/>
    <w:rsid w:val="00F847B5"/>
    <w:rsid w:val="00FC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01255"/>
  <w15:chartTrackingRefBased/>
  <w15:docId w15:val="{45072C63-45D2-4321-BA2D-F04EFDA2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5EE"/>
  </w:style>
  <w:style w:type="paragraph" w:styleId="Footer">
    <w:name w:val="footer"/>
    <w:basedOn w:val="Normal"/>
    <w:link w:val="FooterChar"/>
    <w:uiPriority w:val="99"/>
    <w:unhideWhenUsed/>
    <w:rsid w:val="00A6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cdmhooser@gmail.com</dc:creator>
  <cp:keywords/>
  <dc:description/>
  <cp:lastModifiedBy>Christy M Hooser</cp:lastModifiedBy>
  <cp:revision>4</cp:revision>
  <dcterms:created xsi:type="dcterms:W3CDTF">2023-04-07T20:17:00Z</dcterms:created>
  <dcterms:modified xsi:type="dcterms:W3CDTF">2023-05-03T15:14:00Z</dcterms:modified>
</cp:coreProperties>
</file>