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C1F" w:rsidRPr="00D204A9" w:rsidRDefault="00E14C2E" w:rsidP="00006D36">
      <w:pPr>
        <w:jc w:val="center"/>
        <w:rPr>
          <w:rFonts w:asciiTheme="majorHAnsi" w:hAnsiTheme="majorHAnsi"/>
          <w:b/>
        </w:rPr>
      </w:pPr>
      <w:r>
        <w:rPr>
          <w:b/>
          <w:noProof/>
        </w:rPr>
        <mc:AlternateContent>
          <mc:Choice Requires="wps">
            <w:drawing>
              <wp:anchor distT="0" distB="0" distL="114300" distR="114300" simplePos="0" relativeHeight="251659264" behindDoc="0" locked="0" layoutInCell="1" allowOverlap="1" wp14:anchorId="696568D5" wp14:editId="7273B4B4">
                <wp:simplePos x="0" y="0"/>
                <wp:positionH relativeFrom="margin">
                  <wp:posOffset>4312920</wp:posOffset>
                </wp:positionH>
                <wp:positionV relativeFrom="paragraph">
                  <wp:posOffset>-716280</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w:rsidR="00E14C2E" w:rsidRPr="00F80BE0" w:rsidRDefault="00E14C2E" w:rsidP="00E14C2E">
                            <w:pPr>
                              <w:spacing w:line="240" w:lineRule="auto"/>
                              <w:rPr>
                                <w:rFonts w:asciiTheme="majorHAnsi" w:hAnsiTheme="majorHAnsi" w:cstheme="majorHAnsi"/>
                                <w:sz w:val="24"/>
                                <w:szCs w:val="24"/>
                              </w:rPr>
                            </w:pPr>
                            <w:r>
                              <w:rPr>
                                <w:rFonts w:asciiTheme="majorHAnsi" w:hAnsiTheme="majorHAnsi" w:cstheme="majorHAnsi"/>
                                <w:sz w:val="24"/>
                                <w:szCs w:val="24"/>
                              </w:rPr>
                              <w:t>Agenda Item #18-14</w:t>
                            </w:r>
                          </w:p>
                          <w:p w:rsidR="00E14C2E" w:rsidRPr="00F80BE0" w:rsidRDefault="00E14C2E" w:rsidP="00E14C2E">
                            <w:pPr>
                              <w:spacing w:line="240" w:lineRule="auto"/>
                              <w:rPr>
                                <w:rFonts w:asciiTheme="majorHAnsi" w:hAnsiTheme="majorHAnsi" w:cstheme="majorHAnsi"/>
                                <w:sz w:val="24"/>
                                <w:szCs w:val="24"/>
                              </w:rPr>
                            </w:pPr>
                            <w:r w:rsidRPr="00F80BE0">
                              <w:rPr>
                                <w:rFonts w:asciiTheme="majorHAnsi" w:hAnsiTheme="majorHAnsi" w:cstheme="majorHAnsi"/>
                                <w:sz w:val="24"/>
                                <w:szCs w:val="24"/>
                              </w:rPr>
                              <w:t xml:space="preserve">Effective </w:t>
                            </w:r>
                            <w:proofErr w:type="gramStart"/>
                            <w:r>
                              <w:rPr>
                                <w:rFonts w:asciiTheme="majorHAnsi" w:hAnsiTheme="majorHAnsi" w:cstheme="majorHAnsi"/>
                                <w:sz w:val="24"/>
                                <w:szCs w:val="24"/>
                              </w:rPr>
                              <w:t>Fall</w:t>
                            </w:r>
                            <w:proofErr w:type="gramEnd"/>
                            <w:r w:rsidRPr="00F80BE0">
                              <w:rPr>
                                <w:rFonts w:asciiTheme="majorHAnsi" w:hAnsiTheme="majorHAnsi" w:cstheme="majorHAnsi"/>
                                <w:sz w:val="24"/>
                                <w:szCs w:val="24"/>
                              </w:rPr>
                              <w:t xml:space="preserve">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568D5" id="_x0000_t202" coordsize="21600,21600" o:spt="202" path="m,l,21600r21600,l21600,xe">
                <v:stroke joinstyle="miter"/>
                <v:path gradientshapeok="t" o:connecttype="rect"/>
              </v:shapetype>
              <v:shape id="Text Box 3" o:spid="_x0000_s1026" type="#_x0000_t202" style="position:absolute;left:0;text-align:left;margin-left:339.6pt;margin-top:-56.4pt;width:132.6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">
                <v:textbox>
                  <w:txbxContent>
                    <w:p w:rsidR="00E14C2E" w:rsidRPr="00F80BE0" w:rsidRDefault="00E14C2E" w:rsidP="00E14C2E">
                      <w:pPr>
                        <w:spacing w:line="240" w:lineRule="auto"/>
                        <w:rPr>
                          <w:rFonts w:asciiTheme="majorHAnsi" w:hAnsiTheme="majorHAnsi" w:cstheme="majorHAnsi"/>
                          <w:sz w:val="24"/>
                          <w:szCs w:val="24"/>
                        </w:rPr>
                      </w:pPr>
                      <w:r>
                        <w:rPr>
                          <w:rFonts w:asciiTheme="majorHAnsi" w:hAnsiTheme="majorHAnsi" w:cstheme="majorHAnsi"/>
                          <w:sz w:val="24"/>
                          <w:szCs w:val="24"/>
                        </w:rPr>
                        <w:t>Agenda Item #18-14</w:t>
                      </w:r>
                    </w:p>
                    <w:p w:rsidR="00E14C2E" w:rsidRPr="00F80BE0" w:rsidRDefault="00E14C2E" w:rsidP="00E14C2E">
                      <w:pPr>
                        <w:spacing w:line="240" w:lineRule="auto"/>
                        <w:rPr>
                          <w:rFonts w:asciiTheme="majorHAnsi" w:hAnsiTheme="majorHAnsi" w:cstheme="majorHAnsi"/>
                          <w:sz w:val="24"/>
                          <w:szCs w:val="24"/>
                        </w:rPr>
                      </w:pPr>
                      <w:r w:rsidRPr="00F80BE0">
                        <w:rPr>
                          <w:rFonts w:asciiTheme="majorHAnsi" w:hAnsiTheme="majorHAnsi" w:cstheme="majorHAnsi"/>
                          <w:sz w:val="24"/>
                          <w:szCs w:val="24"/>
                        </w:rPr>
                        <w:t xml:space="preserve">Effective </w:t>
                      </w:r>
                      <w:proofErr w:type="gramStart"/>
                      <w:r>
                        <w:rPr>
                          <w:rFonts w:asciiTheme="majorHAnsi" w:hAnsiTheme="majorHAnsi" w:cstheme="majorHAnsi"/>
                          <w:sz w:val="24"/>
                          <w:szCs w:val="24"/>
                        </w:rPr>
                        <w:t>Fall</w:t>
                      </w:r>
                      <w:proofErr w:type="gramEnd"/>
                      <w:r w:rsidRPr="00F80BE0">
                        <w:rPr>
                          <w:rFonts w:asciiTheme="majorHAnsi" w:hAnsiTheme="majorHAnsi" w:cstheme="majorHAnsi"/>
                          <w:sz w:val="24"/>
                          <w:szCs w:val="24"/>
                        </w:rPr>
                        <w:t xml:space="preserve"> 2019</w:t>
                      </w:r>
                    </w:p>
                  </w:txbxContent>
                </v:textbox>
                <w10:wrap anchorx="margin"/>
              </v:shape>
            </w:pict>
          </mc:Fallback>
        </mc:AlternateContent>
      </w:r>
      <w:r w:rsidR="00D204A9" w:rsidRPr="00D204A9">
        <w:rPr>
          <w:rFonts w:asciiTheme="majorHAnsi" w:hAnsiTheme="majorHAnsi"/>
          <w:b/>
        </w:rPr>
        <w:t xml:space="preserve">Proposed </w:t>
      </w:r>
      <w:r w:rsidR="000D386D" w:rsidRPr="00D204A9">
        <w:rPr>
          <w:rFonts w:asciiTheme="majorHAnsi" w:hAnsiTheme="majorHAnsi"/>
          <w:b/>
        </w:rPr>
        <w:t>Nutrition and Dietetics Minor</w:t>
      </w:r>
    </w:p>
    <w:p w:rsidR="00D204A9" w:rsidRPr="00D204A9" w:rsidRDefault="00D204A9">
      <w:pPr>
        <w:rPr>
          <w:rFonts w:asciiTheme="majorHAnsi" w:hAnsiTheme="majorHAnsi"/>
        </w:rPr>
      </w:pPr>
    </w:p>
    <w:p w:rsidR="00D204A9" w:rsidRPr="00D204A9" w:rsidRDefault="00D204A9">
      <w:pPr>
        <w:rPr>
          <w:rFonts w:asciiTheme="majorHAnsi" w:hAnsiTheme="majorHAnsi"/>
          <w:b/>
        </w:rPr>
      </w:pPr>
      <w:r w:rsidRPr="00D204A9">
        <w:rPr>
          <w:rFonts w:asciiTheme="majorHAnsi" w:hAnsiTheme="majorHAnsi"/>
          <w:b/>
        </w:rPr>
        <w:t>REQUEST:</w:t>
      </w:r>
    </w:p>
    <w:p w:rsidR="00D204A9" w:rsidRPr="00D204A9" w:rsidRDefault="00D204A9">
      <w:pPr>
        <w:rPr>
          <w:rFonts w:asciiTheme="majorHAnsi" w:hAnsiTheme="majorHAnsi"/>
        </w:rPr>
      </w:pPr>
      <w:r w:rsidRPr="00D204A9">
        <w:rPr>
          <w:rFonts w:asciiTheme="majorHAnsi" w:hAnsiTheme="majorHAnsi"/>
        </w:rPr>
        <w:t xml:space="preserve">The addition of a Nutrition and Dietetics Minor effective </w:t>
      </w:r>
      <w:proofErr w:type="gramStart"/>
      <w:r w:rsidRPr="00D204A9">
        <w:rPr>
          <w:rFonts w:asciiTheme="majorHAnsi" w:hAnsiTheme="majorHAnsi"/>
        </w:rPr>
        <w:t>Fall</w:t>
      </w:r>
      <w:proofErr w:type="gramEnd"/>
      <w:r w:rsidRPr="00D204A9">
        <w:rPr>
          <w:rFonts w:asciiTheme="majorHAnsi" w:hAnsiTheme="majorHAnsi"/>
        </w:rPr>
        <w:t xml:space="preserve"> 2019.</w:t>
      </w:r>
    </w:p>
    <w:p w:rsidR="00D204A9" w:rsidRPr="00D204A9" w:rsidRDefault="00D204A9">
      <w:pPr>
        <w:rPr>
          <w:rFonts w:asciiTheme="majorHAnsi" w:hAnsiTheme="majorHAnsi"/>
        </w:rPr>
      </w:pPr>
      <w:bookmarkStart w:id="0" w:name="_GoBack"/>
      <w:bookmarkEnd w:id="0"/>
    </w:p>
    <w:p w:rsidR="00D204A9" w:rsidRPr="00D204A9" w:rsidRDefault="00D204A9">
      <w:pPr>
        <w:rPr>
          <w:rFonts w:asciiTheme="majorHAnsi" w:hAnsiTheme="majorHAnsi"/>
          <w:b/>
        </w:rPr>
      </w:pPr>
      <w:r w:rsidRPr="00D204A9">
        <w:rPr>
          <w:rFonts w:asciiTheme="majorHAnsi" w:hAnsiTheme="majorHAnsi"/>
          <w:b/>
        </w:rPr>
        <w:t>RATIONALE:</w:t>
      </w:r>
    </w:p>
    <w:p w:rsidR="00D204A9" w:rsidRPr="00D204A9" w:rsidRDefault="00D204A9">
      <w:pPr>
        <w:rPr>
          <w:rFonts w:asciiTheme="majorHAnsi" w:hAnsiTheme="majorHAnsi"/>
        </w:rPr>
      </w:pPr>
      <w:r w:rsidRPr="00D204A9">
        <w:rPr>
          <w:rFonts w:asciiTheme="majorHAnsi" w:hAnsiTheme="majorHAnsi"/>
        </w:rPr>
        <w:t>This 18-hour Nutrition and Dietetics Minor, comprised of courses already offered, will allow students outside of the Nutrition and Dietetics program to gain increased knowledge and skills in the foods and nutrition area.  Several students in recent EIU Open Houses have expressed an interest in a Nutrition and Dietetics minor. Students majoring in Health Promotion, Exercise Science, and Athletic Training might be interested in this minor.  With the projected continued growth in the nutrition-related job market, students with this minor would be better equipped for some of these jobs.</w:t>
      </w:r>
    </w:p>
    <w:p w:rsidR="00D204A9" w:rsidRPr="00D204A9" w:rsidRDefault="00D204A9">
      <w:pPr>
        <w:rPr>
          <w:rFonts w:asciiTheme="majorHAnsi" w:hAnsiTheme="majorHAnsi"/>
        </w:rPr>
      </w:pPr>
    </w:p>
    <w:p w:rsidR="00D204A9" w:rsidRPr="00D204A9" w:rsidRDefault="00D204A9">
      <w:pPr>
        <w:rPr>
          <w:rFonts w:asciiTheme="majorHAnsi" w:hAnsiTheme="majorHAnsi"/>
          <w:b/>
        </w:rPr>
      </w:pPr>
      <w:r w:rsidRPr="00D204A9">
        <w:rPr>
          <w:rFonts w:asciiTheme="majorHAnsi" w:hAnsiTheme="majorHAnsi"/>
          <w:b/>
        </w:rPr>
        <w:t>CATALOG COPY:</w:t>
      </w:r>
    </w:p>
    <w:p w:rsidR="00D204A9" w:rsidRPr="00D204A9" w:rsidRDefault="00D204A9">
      <w:pPr>
        <w:rPr>
          <w:rFonts w:asciiTheme="majorHAnsi" w:hAnsiTheme="majorHAnsi"/>
        </w:rPr>
      </w:pPr>
      <w:r w:rsidRPr="00D204A9">
        <w:rPr>
          <w:rFonts w:asciiTheme="majorHAnsi" w:hAnsiTheme="majorHAnsi"/>
        </w:rPr>
        <w:t xml:space="preserve">The Nutrition and Dietetics minor offers an overarching view of nutrition and dietetics concepts that will strengthen the student’s knowledge and skills as related to foods and nutrition. </w:t>
      </w:r>
    </w:p>
    <w:p w:rsidR="00D204A9" w:rsidRPr="00D204A9" w:rsidRDefault="00D204A9">
      <w:pPr>
        <w:rPr>
          <w:rFonts w:asciiTheme="majorHAnsi" w:hAnsiTheme="majorHAnsi"/>
        </w:rPr>
      </w:pPr>
    </w:p>
    <w:p w:rsidR="000D386D" w:rsidRPr="00D204A9" w:rsidRDefault="00006D36">
      <w:pPr>
        <w:rPr>
          <w:rFonts w:asciiTheme="majorHAnsi" w:hAnsiTheme="majorHAnsi"/>
        </w:rPr>
      </w:pPr>
      <w:r w:rsidRPr="00D204A9">
        <w:rPr>
          <w:rFonts w:asciiTheme="majorHAnsi" w:hAnsiTheme="majorHAnsi"/>
        </w:rPr>
        <w:t>Total hours required</w:t>
      </w:r>
      <w:r w:rsidR="00D204A9" w:rsidRPr="00D204A9">
        <w:rPr>
          <w:rFonts w:asciiTheme="majorHAnsi" w:hAnsiTheme="majorHAnsi"/>
        </w:rPr>
        <w:t xml:space="preserve"> for minor</w:t>
      </w:r>
      <w:r w:rsidRPr="00D204A9">
        <w:rPr>
          <w:rFonts w:asciiTheme="majorHAnsi" w:hAnsiTheme="majorHAnsi"/>
        </w:rPr>
        <w:t>: 18</w:t>
      </w:r>
    </w:p>
    <w:p w:rsidR="000D386D" w:rsidRPr="00D204A9" w:rsidRDefault="000D386D">
      <w:pPr>
        <w:rPr>
          <w:rFonts w:asciiTheme="majorHAnsi" w:hAnsiTheme="majorHAnsi"/>
        </w:rPr>
      </w:pPr>
    </w:p>
    <w:p w:rsidR="000D386D" w:rsidRPr="00D204A9" w:rsidRDefault="000E2A41">
      <w:pPr>
        <w:rPr>
          <w:rFonts w:asciiTheme="majorHAnsi" w:hAnsiTheme="majorHAnsi"/>
        </w:rPr>
      </w:pPr>
      <w:r w:rsidRPr="00D204A9">
        <w:rPr>
          <w:rFonts w:asciiTheme="majorHAnsi" w:hAnsiTheme="majorHAnsi"/>
        </w:rPr>
        <w:t>Required courses: 8</w:t>
      </w:r>
      <w:r w:rsidR="000D386D" w:rsidRPr="00D204A9">
        <w:rPr>
          <w:rFonts w:asciiTheme="majorHAnsi" w:hAnsiTheme="majorHAnsi"/>
        </w:rPr>
        <w:t xml:space="preserve"> hours</w:t>
      </w:r>
    </w:p>
    <w:p w:rsidR="000E2A41" w:rsidRPr="00D204A9" w:rsidRDefault="000E2A41">
      <w:pPr>
        <w:rPr>
          <w:rFonts w:asciiTheme="majorHAnsi" w:hAnsiTheme="majorHAnsi"/>
        </w:rPr>
      </w:pPr>
      <w:r w:rsidRPr="00D204A9">
        <w:rPr>
          <w:rFonts w:asciiTheme="majorHAnsi" w:hAnsiTheme="majorHAnsi"/>
        </w:rPr>
        <w:t xml:space="preserve">NTR </w:t>
      </w:r>
      <w:proofErr w:type="gramStart"/>
      <w:r w:rsidRPr="00D204A9">
        <w:rPr>
          <w:rFonts w:asciiTheme="majorHAnsi" w:hAnsiTheme="majorHAnsi"/>
        </w:rPr>
        <w:t>1120  Food</w:t>
      </w:r>
      <w:proofErr w:type="gramEnd"/>
      <w:r w:rsidRPr="00D204A9">
        <w:rPr>
          <w:rFonts w:asciiTheme="majorHAnsi" w:hAnsiTheme="majorHAnsi"/>
        </w:rPr>
        <w:t xml:space="preserve"> Selection and Preparation. Credits: 2</w:t>
      </w:r>
    </w:p>
    <w:p w:rsidR="000D386D" w:rsidRPr="00D204A9" w:rsidRDefault="000D386D">
      <w:pPr>
        <w:rPr>
          <w:rFonts w:asciiTheme="majorHAnsi" w:hAnsiTheme="majorHAnsi"/>
        </w:rPr>
      </w:pPr>
      <w:r w:rsidRPr="00D204A9">
        <w:rPr>
          <w:rFonts w:asciiTheme="majorHAnsi" w:hAnsiTheme="majorHAnsi"/>
        </w:rPr>
        <w:t xml:space="preserve">NTR </w:t>
      </w:r>
      <w:proofErr w:type="gramStart"/>
      <w:r w:rsidRPr="00D204A9">
        <w:rPr>
          <w:rFonts w:asciiTheme="majorHAnsi" w:hAnsiTheme="majorHAnsi"/>
        </w:rPr>
        <w:t>2100  Personal</w:t>
      </w:r>
      <w:proofErr w:type="gramEnd"/>
      <w:r w:rsidRPr="00D204A9">
        <w:rPr>
          <w:rFonts w:asciiTheme="majorHAnsi" w:hAnsiTheme="majorHAnsi"/>
        </w:rPr>
        <w:t xml:space="preserve"> Nutrition</w:t>
      </w:r>
      <w:r w:rsidR="00006D36" w:rsidRPr="00D204A9">
        <w:rPr>
          <w:rFonts w:asciiTheme="majorHAnsi" w:hAnsiTheme="majorHAnsi"/>
        </w:rPr>
        <w:t>. Credits: 3</w:t>
      </w:r>
    </w:p>
    <w:p w:rsidR="000D386D" w:rsidRPr="00D204A9" w:rsidRDefault="000D386D">
      <w:pPr>
        <w:rPr>
          <w:rFonts w:asciiTheme="majorHAnsi" w:hAnsiTheme="majorHAnsi"/>
        </w:rPr>
      </w:pPr>
      <w:r w:rsidRPr="00D204A9">
        <w:rPr>
          <w:rFonts w:asciiTheme="majorHAnsi" w:hAnsiTheme="majorHAnsi"/>
        </w:rPr>
        <w:t>HST 3700   Community Health Behavior Methods</w:t>
      </w:r>
      <w:r w:rsidR="00006D36" w:rsidRPr="00D204A9">
        <w:rPr>
          <w:rFonts w:asciiTheme="majorHAnsi" w:hAnsiTheme="majorHAnsi"/>
        </w:rPr>
        <w:t>. Credits: 3</w:t>
      </w:r>
    </w:p>
    <w:p w:rsidR="000D386D" w:rsidRPr="00D204A9" w:rsidRDefault="000D386D">
      <w:pPr>
        <w:rPr>
          <w:rFonts w:asciiTheme="majorHAnsi" w:hAnsiTheme="majorHAnsi"/>
        </w:rPr>
      </w:pPr>
    </w:p>
    <w:p w:rsidR="000D386D" w:rsidRPr="00D204A9" w:rsidRDefault="00006D36">
      <w:pPr>
        <w:rPr>
          <w:rFonts w:asciiTheme="majorHAnsi" w:hAnsiTheme="majorHAnsi"/>
        </w:rPr>
      </w:pPr>
      <w:r w:rsidRPr="00D204A9">
        <w:rPr>
          <w:rFonts w:asciiTheme="majorHAnsi" w:hAnsiTheme="majorHAnsi"/>
        </w:rPr>
        <w:t>Elective courses</w:t>
      </w:r>
      <w:r w:rsidR="00DC5472" w:rsidRPr="00D204A9">
        <w:rPr>
          <w:rFonts w:asciiTheme="majorHAnsi" w:hAnsiTheme="majorHAnsi"/>
        </w:rPr>
        <w:t>: 10</w:t>
      </w:r>
      <w:r w:rsidR="000D386D" w:rsidRPr="00D204A9">
        <w:rPr>
          <w:rFonts w:asciiTheme="majorHAnsi" w:hAnsiTheme="majorHAnsi"/>
        </w:rPr>
        <w:t xml:space="preserve"> hours</w:t>
      </w:r>
    </w:p>
    <w:p w:rsidR="000D386D" w:rsidRPr="00D204A9" w:rsidRDefault="000D386D" w:rsidP="000D386D">
      <w:pPr>
        <w:rPr>
          <w:rFonts w:asciiTheme="majorHAnsi" w:hAnsiTheme="majorHAnsi"/>
        </w:rPr>
      </w:pPr>
      <w:r w:rsidRPr="00D204A9">
        <w:rPr>
          <w:rFonts w:asciiTheme="majorHAnsi" w:hAnsiTheme="majorHAnsi"/>
        </w:rPr>
        <w:t>NTR 1121   Food Service Sanitation</w:t>
      </w:r>
      <w:r w:rsidR="00006D36" w:rsidRPr="00D204A9">
        <w:rPr>
          <w:rFonts w:asciiTheme="majorHAnsi" w:hAnsiTheme="majorHAnsi"/>
        </w:rPr>
        <w:t>. Credit: 1</w:t>
      </w:r>
    </w:p>
    <w:p w:rsidR="00006D36" w:rsidRPr="00D204A9" w:rsidRDefault="00006D36" w:rsidP="000D386D">
      <w:pPr>
        <w:rPr>
          <w:rFonts w:asciiTheme="majorHAnsi" w:hAnsiTheme="majorHAnsi"/>
        </w:rPr>
      </w:pPr>
      <w:r w:rsidRPr="00D204A9">
        <w:rPr>
          <w:rFonts w:asciiTheme="majorHAnsi" w:hAnsiTheme="majorHAnsi"/>
        </w:rPr>
        <w:t>NTR 2750   Nutrition Assessment and Counseling</w:t>
      </w:r>
      <w:r w:rsidR="000E2A41" w:rsidRPr="00D204A9">
        <w:rPr>
          <w:rFonts w:asciiTheme="majorHAnsi" w:hAnsiTheme="majorHAnsi"/>
        </w:rPr>
        <w:t>*</w:t>
      </w:r>
      <w:r w:rsidRPr="00D204A9">
        <w:rPr>
          <w:rFonts w:asciiTheme="majorHAnsi" w:hAnsiTheme="majorHAnsi"/>
        </w:rPr>
        <w:t>. Credits: 3</w:t>
      </w:r>
    </w:p>
    <w:p w:rsidR="000D386D" w:rsidRPr="00D204A9" w:rsidRDefault="000D386D" w:rsidP="000D386D">
      <w:pPr>
        <w:rPr>
          <w:rFonts w:asciiTheme="majorHAnsi" w:hAnsiTheme="majorHAnsi"/>
        </w:rPr>
      </w:pPr>
      <w:r w:rsidRPr="00D204A9">
        <w:rPr>
          <w:rFonts w:asciiTheme="majorHAnsi" w:hAnsiTheme="majorHAnsi"/>
        </w:rPr>
        <w:t>NTR 3120   Food Science</w:t>
      </w:r>
      <w:r w:rsidR="000E2A41" w:rsidRPr="00D204A9">
        <w:rPr>
          <w:rFonts w:asciiTheme="majorHAnsi" w:hAnsiTheme="majorHAnsi"/>
        </w:rPr>
        <w:t>*</w:t>
      </w:r>
      <w:r w:rsidR="00006D36" w:rsidRPr="00D204A9">
        <w:rPr>
          <w:rFonts w:asciiTheme="majorHAnsi" w:hAnsiTheme="majorHAnsi"/>
        </w:rPr>
        <w:t>. Credits: 3</w:t>
      </w:r>
    </w:p>
    <w:p w:rsidR="000D386D" w:rsidRPr="00D204A9" w:rsidRDefault="000D386D" w:rsidP="000D386D">
      <w:pPr>
        <w:rPr>
          <w:rFonts w:asciiTheme="majorHAnsi" w:hAnsiTheme="majorHAnsi"/>
        </w:rPr>
      </w:pPr>
      <w:r w:rsidRPr="00D204A9">
        <w:rPr>
          <w:rFonts w:asciiTheme="majorHAnsi" w:hAnsiTheme="majorHAnsi"/>
        </w:rPr>
        <w:t xml:space="preserve">NTR 3500   Professional Focus </w:t>
      </w:r>
      <w:r w:rsidR="00006D36" w:rsidRPr="00D204A9">
        <w:rPr>
          <w:rFonts w:asciiTheme="majorHAnsi" w:hAnsiTheme="majorHAnsi"/>
        </w:rPr>
        <w:t>of Nutrition and Dietetics. Credits: 2</w:t>
      </w:r>
    </w:p>
    <w:p w:rsidR="000E2A41" w:rsidRPr="00D204A9" w:rsidRDefault="000E2A41" w:rsidP="000D386D">
      <w:pPr>
        <w:rPr>
          <w:rFonts w:asciiTheme="majorHAnsi" w:hAnsiTheme="majorHAnsi"/>
        </w:rPr>
      </w:pPr>
      <w:r w:rsidRPr="00D204A9">
        <w:rPr>
          <w:rFonts w:asciiTheme="majorHAnsi" w:hAnsiTheme="majorHAnsi"/>
        </w:rPr>
        <w:t xml:space="preserve">NTR </w:t>
      </w:r>
      <w:proofErr w:type="gramStart"/>
      <w:r w:rsidRPr="00D204A9">
        <w:rPr>
          <w:rFonts w:asciiTheme="majorHAnsi" w:hAnsiTheme="majorHAnsi"/>
        </w:rPr>
        <w:t>3755  Nutrition</w:t>
      </w:r>
      <w:proofErr w:type="gramEnd"/>
      <w:r w:rsidRPr="00D204A9">
        <w:rPr>
          <w:rFonts w:asciiTheme="majorHAnsi" w:hAnsiTheme="majorHAnsi"/>
        </w:rPr>
        <w:t xml:space="preserve"> in the Life Span*. Credits: 3</w:t>
      </w:r>
    </w:p>
    <w:p w:rsidR="000D386D" w:rsidRPr="00D204A9" w:rsidRDefault="000D386D" w:rsidP="000D386D">
      <w:pPr>
        <w:rPr>
          <w:rFonts w:asciiTheme="majorHAnsi" w:hAnsiTheme="majorHAnsi"/>
        </w:rPr>
      </w:pPr>
      <w:r w:rsidRPr="00D204A9">
        <w:rPr>
          <w:rFonts w:asciiTheme="majorHAnsi" w:hAnsiTheme="majorHAnsi"/>
        </w:rPr>
        <w:t xml:space="preserve">NTR </w:t>
      </w:r>
      <w:proofErr w:type="gramStart"/>
      <w:r w:rsidRPr="00D204A9">
        <w:rPr>
          <w:rFonts w:asciiTheme="majorHAnsi" w:hAnsiTheme="majorHAnsi"/>
        </w:rPr>
        <w:t>3756  Community</w:t>
      </w:r>
      <w:proofErr w:type="gramEnd"/>
      <w:r w:rsidRPr="00D204A9">
        <w:rPr>
          <w:rFonts w:asciiTheme="majorHAnsi" w:hAnsiTheme="majorHAnsi"/>
        </w:rPr>
        <w:t xml:space="preserve"> Nutrition Program Planning</w:t>
      </w:r>
      <w:r w:rsidR="000E2A41" w:rsidRPr="00D204A9">
        <w:rPr>
          <w:rFonts w:asciiTheme="majorHAnsi" w:hAnsiTheme="majorHAnsi"/>
        </w:rPr>
        <w:t>*</w:t>
      </w:r>
      <w:r w:rsidR="00006D36" w:rsidRPr="00D204A9">
        <w:rPr>
          <w:rFonts w:asciiTheme="majorHAnsi" w:hAnsiTheme="majorHAnsi"/>
        </w:rPr>
        <w:t>. Credits: 3</w:t>
      </w:r>
    </w:p>
    <w:p w:rsidR="00006D36" w:rsidRPr="00D204A9" w:rsidRDefault="00006D36" w:rsidP="000D386D">
      <w:pPr>
        <w:rPr>
          <w:rFonts w:asciiTheme="majorHAnsi" w:hAnsiTheme="majorHAnsi"/>
        </w:rPr>
      </w:pPr>
      <w:r w:rsidRPr="00D204A9">
        <w:rPr>
          <w:rFonts w:asciiTheme="majorHAnsi" w:hAnsiTheme="majorHAnsi"/>
        </w:rPr>
        <w:t>NTR 4230   Special Topics in Nutrition and Dietetics. Credits: 1-3</w:t>
      </w:r>
    </w:p>
    <w:p w:rsidR="000D386D" w:rsidRPr="00D204A9" w:rsidRDefault="000D386D" w:rsidP="000D386D">
      <w:pPr>
        <w:rPr>
          <w:rFonts w:asciiTheme="majorHAnsi" w:hAnsiTheme="majorHAnsi"/>
        </w:rPr>
      </w:pPr>
      <w:r w:rsidRPr="00D204A9">
        <w:rPr>
          <w:rFonts w:asciiTheme="majorHAnsi" w:hAnsiTheme="majorHAnsi"/>
        </w:rPr>
        <w:t>NTR 4752   Focus on Diabetes</w:t>
      </w:r>
      <w:r w:rsidR="000E2A41" w:rsidRPr="00D204A9">
        <w:rPr>
          <w:rFonts w:asciiTheme="majorHAnsi" w:hAnsiTheme="majorHAnsi"/>
        </w:rPr>
        <w:t>*</w:t>
      </w:r>
      <w:r w:rsidR="00006D36" w:rsidRPr="00D204A9">
        <w:rPr>
          <w:rFonts w:asciiTheme="majorHAnsi" w:hAnsiTheme="majorHAnsi"/>
        </w:rPr>
        <w:t>. Credit: 1</w:t>
      </w:r>
    </w:p>
    <w:p w:rsidR="000D386D" w:rsidRPr="00D204A9" w:rsidRDefault="000D386D" w:rsidP="000D386D">
      <w:pPr>
        <w:rPr>
          <w:rFonts w:asciiTheme="majorHAnsi" w:hAnsiTheme="majorHAnsi"/>
        </w:rPr>
      </w:pPr>
      <w:r w:rsidRPr="00D204A9">
        <w:rPr>
          <w:rFonts w:asciiTheme="majorHAnsi" w:hAnsiTheme="majorHAnsi"/>
        </w:rPr>
        <w:t>NTR 4753   Nutrition for the Addicted Person</w:t>
      </w:r>
      <w:r w:rsidR="000E2A41" w:rsidRPr="00D204A9">
        <w:rPr>
          <w:rFonts w:asciiTheme="majorHAnsi" w:hAnsiTheme="majorHAnsi"/>
        </w:rPr>
        <w:t>*</w:t>
      </w:r>
      <w:r w:rsidR="00006D36" w:rsidRPr="00D204A9">
        <w:rPr>
          <w:rFonts w:asciiTheme="majorHAnsi" w:hAnsiTheme="majorHAnsi"/>
        </w:rPr>
        <w:t>. Credit: 1</w:t>
      </w:r>
    </w:p>
    <w:p w:rsidR="00006D36" w:rsidRPr="00D204A9" w:rsidRDefault="000E2A41" w:rsidP="000D386D">
      <w:pPr>
        <w:rPr>
          <w:rFonts w:asciiTheme="majorHAnsi" w:hAnsiTheme="majorHAnsi"/>
        </w:rPr>
      </w:pPr>
      <w:r w:rsidRPr="00D204A9">
        <w:rPr>
          <w:rFonts w:asciiTheme="majorHAnsi" w:hAnsiTheme="majorHAnsi"/>
        </w:rPr>
        <w:t>*Prerequisites required.</w:t>
      </w:r>
    </w:p>
    <w:p w:rsidR="00D204A9" w:rsidRPr="00D204A9" w:rsidRDefault="00D204A9" w:rsidP="00D204A9">
      <w:pPr>
        <w:rPr>
          <w:rFonts w:asciiTheme="majorHAnsi" w:hAnsiTheme="majorHAnsi"/>
        </w:rPr>
      </w:pPr>
    </w:p>
    <w:p w:rsidR="00006D36" w:rsidRPr="00D204A9" w:rsidRDefault="00006D36">
      <w:pPr>
        <w:rPr>
          <w:rFonts w:asciiTheme="majorHAnsi" w:hAnsiTheme="majorHAnsi"/>
          <w:b/>
        </w:rPr>
      </w:pPr>
      <w:r w:rsidRPr="00D204A9">
        <w:rPr>
          <w:rFonts w:asciiTheme="majorHAnsi" w:hAnsiTheme="majorHAnsi"/>
          <w:b/>
        </w:rPr>
        <w:t>Approvals</w:t>
      </w:r>
    </w:p>
    <w:p w:rsidR="00006D36" w:rsidRPr="00D204A9" w:rsidRDefault="00006D36">
      <w:pPr>
        <w:rPr>
          <w:rFonts w:asciiTheme="majorHAnsi" w:hAnsiTheme="majorHAnsi"/>
        </w:rPr>
      </w:pPr>
    </w:p>
    <w:p w:rsidR="00006D36" w:rsidRPr="00D204A9" w:rsidRDefault="00006D36">
      <w:pPr>
        <w:rPr>
          <w:rFonts w:asciiTheme="majorHAnsi" w:hAnsiTheme="majorHAnsi"/>
        </w:rPr>
      </w:pPr>
      <w:r w:rsidRPr="00D204A9">
        <w:rPr>
          <w:rFonts w:asciiTheme="majorHAnsi" w:hAnsiTheme="majorHAnsi"/>
        </w:rPr>
        <w:t>Nutrition and Dietetics Curriculum Committee</w:t>
      </w:r>
      <w:r w:rsidRPr="00D204A9">
        <w:rPr>
          <w:rFonts w:asciiTheme="majorHAnsi" w:hAnsiTheme="majorHAnsi"/>
        </w:rPr>
        <w:tab/>
      </w:r>
      <w:r w:rsidRPr="00D204A9">
        <w:rPr>
          <w:rFonts w:asciiTheme="majorHAnsi" w:hAnsiTheme="majorHAnsi"/>
          <w:u w:val="single"/>
        </w:rPr>
        <w:tab/>
        <w:t>November 7, 2018</w:t>
      </w:r>
      <w:r w:rsidRPr="00D204A9">
        <w:rPr>
          <w:rFonts w:asciiTheme="majorHAnsi" w:hAnsiTheme="majorHAnsi"/>
          <w:u w:val="single"/>
        </w:rPr>
        <w:tab/>
      </w:r>
      <w:r w:rsidRPr="00D204A9">
        <w:rPr>
          <w:rFonts w:asciiTheme="majorHAnsi" w:hAnsiTheme="majorHAnsi"/>
          <w:u w:val="single"/>
        </w:rPr>
        <w:tab/>
      </w:r>
      <w:r w:rsidRPr="00D204A9">
        <w:rPr>
          <w:rFonts w:asciiTheme="majorHAnsi" w:hAnsiTheme="majorHAnsi"/>
          <w:u w:val="single"/>
        </w:rPr>
        <w:tab/>
      </w:r>
    </w:p>
    <w:p w:rsidR="00006D36" w:rsidRPr="00D204A9" w:rsidRDefault="00006D36">
      <w:pPr>
        <w:rPr>
          <w:rFonts w:asciiTheme="majorHAnsi" w:hAnsiTheme="majorHAnsi"/>
        </w:rPr>
      </w:pPr>
      <w:r w:rsidRPr="00D204A9">
        <w:rPr>
          <w:rFonts w:asciiTheme="majorHAnsi" w:hAnsiTheme="majorHAnsi"/>
        </w:rPr>
        <w:t>CHHS Curriculum Committee</w:t>
      </w:r>
      <w:r w:rsidRPr="00D204A9">
        <w:rPr>
          <w:rFonts w:asciiTheme="majorHAnsi" w:hAnsiTheme="majorHAnsi"/>
        </w:rPr>
        <w:tab/>
      </w:r>
      <w:r w:rsidRPr="00D204A9">
        <w:rPr>
          <w:rFonts w:asciiTheme="majorHAnsi" w:hAnsiTheme="majorHAnsi"/>
        </w:rPr>
        <w:tab/>
      </w:r>
      <w:r w:rsidRPr="00D204A9">
        <w:rPr>
          <w:rFonts w:asciiTheme="majorHAnsi" w:hAnsiTheme="majorHAnsi"/>
        </w:rPr>
        <w:tab/>
      </w:r>
      <w:r w:rsidRPr="00D204A9">
        <w:rPr>
          <w:rFonts w:asciiTheme="majorHAnsi" w:hAnsiTheme="majorHAnsi"/>
          <w:u w:val="single"/>
        </w:rPr>
        <w:tab/>
      </w:r>
      <w:r w:rsidRPr="00D204A9">
        <w:rPr>
          <w:rFonts w:asciiTheme="majorHAnsi" w:hAnsiTheme="majorHAnsi"/>
          <w:u w:val="single"/>
        </w:rPr>
        <w:tab/>
      </w:r>
      <w:r w:rsidRPr="00D204A9">
        <w:rPr>
          <w:rFonts w:asciiTheme="majorHAnsi" w:hAnsiTheme="majorHAnsi"/>
          <w:u w:val="single"/>
        </w:rPr>
        <w:tab/>
      </w:r>
      <w:r w:rsidRPr="00D204A9">
        <w:rPr>
          <w:rFonts w:asciiTheme="majorHAnsi" w:hAnsiTheme="majorHAnsi"/>
          <w:u w:val="single"/>
        </w:rPr>
        <w:tab/>
      </w:r>
      <w:r w:rsidRPr="00D204A9">
        <w:rPr>
          <w:rFonts w:asciiTheme="majorHAnsi" w:hAnsiTheme="majorHAnsi"/>
          <w:u w:val="single"/>
        </w:rPr>
        <w:tab/>
      </w:r>
      <w:r w:rsidRPr="00D204A9">
        <w:rPr>
          <w:rFonts w:asciiTheme="majorHAnsi" w:hAnsiTheme="majorHAnsi"/>
          <w:u w:val="single"/>
        </w:rPr>
        <w:tab/>
      </w:r>
    </w:p>
    <w:p w:rsidR="00006D36" w:rsidRPr="00D204A9" w:rsidRDefault="00006D36">
      <w:pPr>
        <w:rPr>
          <w:rFonts w:asciiTheme="majorHAnsi" w:hAnsiTheme="majorHAnsi"/>
        </w:rPr>
      </w:pPr>
      <w:r w:rsidRPr="00D204A9">
        <w:rPr>
          <w:rFonts w:asciiTheme="majorHAnsi" w:hAnsiTheme="majorHAnsi"/>
        </w:rPr>
        <w:t>Council on Academic Affairs</w:t>
      </w:r>
      <w:r w:rsidRPr="00D204A9">
        <w:rPr>
          <w:rFonts w:asciiTheme="majorHAnsi" w:hAnsiTheme="majorHAnsi"/>
        </w:rPr>
        <w:tab/>
      </w:r>
      <w:r w:rsidRPr="00D204A9">
        <w:rPr>
          <w:rFonts w:asciiTheme="majorHAnsi" w:hAnsiTheme="majorHAnsi"/>
        </w:rPr>
        <w:tab/>
      </w:r>
      <w:r w:rsidRPr="00D204A9">
        <w:rPr>
          <w:rFonts w:asciiTheme="majorHAnsi" w:hAnsiTheme="majorHAnsi"/>
        </w:rPr>
        <w:tab/>
      </w:r>
      <w:r w:rsidRPr="00D204A9">
        <w:rPr>
          <w:rFonts w:asciiTheme="majorHAnsi" w:hAnsiTheme="majorHAnsi"/>
          <w:u w:val="single"/>
        </w:rPr>
        <w:tab/>
      </w:r>
      <w:r w:rsidRPr="00D204A9">
        <w:rPr>
          <w:rFonts w:asciiTheme="majorHAnsi" w:hAnsiTheme="majorHAnsi"/>
          <w:u w:val="single"/>
        </w:rPr>
        <w:tab/>
      </w:r>
      <w:r w:rsidRPr="00D204A9">
        <w:rPr>
          <w:rFonts w:asciiTheme="majorHAnsi" w:hAnsiTheme="majorHAnsi"/>
          <w:u w:val="single"/>
        </w:rPr>
        <w:tab/>
      </w:r>
      <w:r w:rsidRPr="00D204A9">
        <w:rPr>
          <w:rFonts w:asciiTheme="majorHAnsi" w:hAnsiTheme="majorHAnsi"/>
          <w:u w:val="single"/>
        </w:rPr>
        <w:tab/>
      </w:r>
      <w:r w:rsidRPr="00D204A9">
        <w:rPr>
          <w:rFonts w:asciiTheme="majorHAnsi" w:hAnsiTheme="majorHAnsi"/>
          <w:u w:val="single"/>
        </w:rPr>
        <w:tab/>
      </w:r>
      <w:r w:rsidRPr="00D204A9">
        <w:rPr>
          <w:rFonts w:asciiTheme="majorHAnsi" w:hAnsiTheme="majorHAnsi"/>
          <w:u w:val="single"/>
        </w:rPr>
        <w:tab/>
      </w:r>
    </w:p>
    <w:sectPr w:rsidR="00006D36" w:rsidRPr="00D20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86D"/>
    <w:rsid w:val="00006D36"/>
    <w:rsid w:val="000D386D"/>
    <w:rsid w:val="000E2A41"/>
    <w:rsid w:val="00687C1F"/>
    <w:rsid w:val="00D204A9"/>
    <w:rsid w:val="00DC5472"/>
    <w:rsid w:val="00E14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80D3C-0EE6-43F3-90BE-89053363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T Burns</dc:creator>
  <cp:keywords/>
  <dc:description/>
  <cp:lastModifiedBy>Janet L Fopay</cp:lastModifiedBy>
  <cp:revision>3</cp:revision>
  <dcterms:created xsi:type="dcterms:W3CDTF">2018-11-20T22:14:00Z</dcterms:created>
  <dcterms:modified xsi:type="dcterms:W3CDTF">2018-11-27T19:42:00Z</dcterms:modified>
</cp:coreProperties>
</file>