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A3" w:rsidRDefault="00C114DA">
      <w:pPr>
        <w:jc w:val="center"/>
        <w:rPr>
          <w:rFonts w:ascii="Merriweather" w:eastAsia="Merriweather" w:hAnsi="Merriweather" w:cs="Merriweather"/>
          <w:b/>
          <w:sz w:val="28"/>
          <w:szCs w:val="28"/>
        </w:rPr>
      </w:pPr>
      <w:r>
        <w:rPr>
          <w:b/>
          <w:noProof/>
        </w:rPr>
        <mc:AlternateContent>
          <mc:Choice Requires="wps">
            <w:drawing>
              <wp:anchor distT="0" distB="0" distL="114300" distR="114300" simplePos="0" relativeHeight="251659264" behindDoc="0" locked="0" layoutInCell="1" allowOverlap="1" wp14:anchorId="6F5F0241" wp14:editId="2AE67BCA">
                <wp:simplePos x="0" y="0"/>
                <wp:positionH relativeFrom="column">
                  <wp:posOffset>5029200</wp:posOffset>
                </wp:positionH>
                <wp:positionV relativeFrom="paragraph">
                  <wp:posOffset>-243840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C114DA" w:rsidRPr="00F80BE0" w:rsidRDefault="00C114DA" w:rsidP="00C114DA">
                            <w:pPr>
                              <w:spacing w:line="240" w:lineRule="auto"/>
                              <w:rPr>
                                <w:rFonts w:asciiTheme="majorHAnsi" w:hAnsiTheme="majorHAnsi" w:cstheme="majorHAnsi"/>
                                <w:sz w:val="24"/>
                                <w:szCs w:val="24"/>
                              </w:rPr>
                            </w:pPr>
                            <w:r>
                              <w:rPr>
                                <w:rFonts w:asciiTheme="majorHAnsi" w:hAnsiTheme="majorHAnsi" w:cstheme="majorHAnsi"/>
                                <w:sz w:val="24"/>
                                <w:szCs w:val="24"/>
                              </w:rPr>
                              <w:t>Agenda Item #18-04</w:t>
                            </w:r>
                          </w:p>
                          <w:p w:rsidR="00C114DA" w:rsidRPr="00F80BE0" w:rsidRDefault="00C114DA" w:rsidP="00C114DA">
                            <w:pPr>
                              <w:spacing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Spring</w:t>
                            </w:r>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0241" id="_x0000_t202" coordsize="21600,21600" o:spt="202" path="m,l,21600r21600,l21600,xe">
                <v:stroke joinstyle="miter"/>
                <v:path gradientshapeok="t" o:connecttype="rect"/>
              </v:shapetype>
              <v:shape id="Text Box 3" o:spid="_x0000_s1026" type="#_x0000_t202" style="position:absolute;left:0;text-align:left;margin-left:396pt;margin-top:-19.2pt;width:132.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">
                <v:textbox>
                  <w:txbxContent>
                    <w:p w:rsidR="00C114DA" w:rsidRPr="00F80BE0" w:rsidRDefault="00C114DA" w:rsidP="00C114DA">
                      <w:pPr>
                        <w:spacing w:line="240" w:lineRule="auto"/>
                        <w:rPr>
                          <w:rFonts w:asciiTheme="majorHAnsi" w:hAnsiTheme="majorHAnsi" w:cstheme="majorHAnsi"/>
                          <w:sz w:val="24"/>
                          <w:szCs w:val="24"/>
                        </w:rPr>
                      </w:pPr>
                      <w:r>
                        <w:rPr>
                          <w:rFonts w:asciiTheme="majorHAnsi" w:hAnsiTheme="majorHAnsi" w:cstheme="majorHAnsi"/>
                          <w:sz w:val="24"/>
                          <w:szCs w:val="24"/>
                        </w:rPr>
                        <w:t>Agenda Item #18-04</w:t>
                      </w:r>
                    </w:p>
                    <w:p w:rsidR="00C114DA" w:rsidRPr="00F80BE0" w:rsidRDefault="00C114DA" w:rsidP="00C114DA">
                      <w:pPr>
                        <w:spacing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Spring</w:t>
                      </w:r>
                      <w:r w:rsidRPr="00F80BE0">
                        <w:rPr>
                          <w:rFonts w:asciiTheme="majorHAnsi" w:hAnsiTheme="majorHAnsi" w:cstheme="majorHAnsi"/>
                          <w:sz w:val="24"/>
                          <w:szCs w:val="24"/>
                        </w:rPr>
                        <w:t xml:space="preserve"> 2019</w:t>
                      </w:r>
                    </w:p>
                  </w:txbxContent>
                </v:textbox>
              </v:shape>
            </w:pict>
          </mc:Fallback>
        </mc:AlternateContent>
      </w:r>
      <w:r w:rsidR="00BB5D53">
        <w:rPr>
          <w:rFonts w:ascii="Merriweather" w:eastAsia="Merriweather" w:hAnsi="Merriweather" w:cs="Merriweather"/>
          <w:b/>
          <w:sz w:val="28"/>
          <w:szCs w:val="28"/>
        </w:rPr>
        <w:t xml:space="preserve">Proposal      </w:t>
      </w:r>
    </w:p>
    <w:p w:rsidR="005C3EA3" w:rsidRDefault="001B614A">
      <w:pPr>
        <w:jc w:val="center"/>
        <w:rPr>
          <w:rFonts w:ascii="Merriweather" w:eastAsia="Merriweather" w:hAnsi="Merriweather" w:cs="Merriweather"/>
          <w:b/>
          <w:sz w:val="28"/>
          <w:szCs w:val="28"/>
        </w:rPr>
      </w:pPr>
      <w:r>
        <w:rPr>
          <w:rFonts w:ascii="Merriweather" w:eastAsia="Merriweather" w:hAnsi="Merriweather" w:cs="Merriweather"/>
          <w:b/>
          <w:sz w:val="28"/>
          <w:szCs w:val="28"/>
        </w:rPr>
        <w:t xml:space="preserve">Department of </w:t>
      </w:r>
      <w:r w:rsidR="00BB5D53">
        <w:rPr>
          <w:rFonts w:ascii="Merriweather" w:eastAsia="Merriweather" w:hAnsi="Merriweather" w:cs="Merriweather"/>
          <w:b/>
          <w:sz w:val="28"/>
          <w:szCs w:val="28"/>
        </w:rPr>
        <w:t xml:space="preserve">Health Promotion </w:t>
      </w:r>
    </w:p>
    <w:p w:rsidR="005C3EA3" w:rsidRDefault="00BB5D53">
      <w:pPr>
        <w:jc w:val="center"/>
        <w:rPr>
          <w:rFonts w:ascii="Merriweather" w:eastAsia="Merriweather" w:hAnsi="Merriweather" w:cs="Merriweather"/>
          <w:b/>
          <w:sz w:val="28"/>
          <w:szCs w:val="28"/>
        </w:rPr>
      </w:pPr>
      <w:r>
        <w:rPr>
          <w:rFonts w:ascii="Merriweather" w:eastAsia="Merriweather" w:hAnsi="Merriweather" w:cs="Merriweather"/>
          <w:b/>
          <w:sz w:val="28"/>
          <w:szCs w:val="28"/>
        </w:rPr>
        <w:t>Departmental Honors Program</w:t>
      </w:r>
    </w:p>
    <w:p w:rsidR="005C3EA3" w:rsidRDefault="00BB5D53">
      <w:pPr>
        <w:jc w:val="center"/>
        <w:rPr>
          <w:rFonts w:ascii="Merriweather" w:eastAsia="Merriweather" w:hAnsi="Merriweather" w:cs="Merriweather"/>
          <w:b/>
          <w:sz w:val="28"/>
          <w:szCs w:val="28"/>
        </w:rPr>
      </w:pPr>
      <w:r>
        <w:rPr>
          <w:rFonts w:ascii="Merriweather" w:eastAsia="Merriweather" w:hAnsi="Merriweather" w:cs="Merriweather"/>
          <w:b/>
          <w:sz w:val="28"/>
          <w:szCs w:val="28"/>
        </w:rPr>
        <w:t>Effective Date:  Spring 2019</w:t>
      </w:r>
    </w:p>
    <w:p w:rsidR="005C3EA3" w:rsidRDefault="005C3EA3">
      <w:pPr>
        <w:jc w:val="center"/>
        <w:rPr>
          <w:rFonts w:ascii="Merriweather" w:eastAsia="Merriweather" w:hAnsi="Merriweather" w:cs="Merriweather"/>
          <w:b/>
        </w:rPr>
      </w:pPr>
    </w:p>
    <w:p w:rsidR="005C3EA3" w:rsidRDefault="005C3EA3">
      <w:pPr>
        <w:jc w:val="center"/>
        <w:rPr>
          <w:rFonts w:ascii="Merriweather" w:eastAsia="Merriweather" w:hAnsi="Merriweather" w:cs="Merriweather"/>
          <w:b/>
        </w:rPr>
      </w:pPr>
    </w:p>
    <w:p w:rsidR="005C3EA3" w:rsidRDefault="00BB5D53">
      <w:pPr>
        <w:rPr>
          <w:rFonts w:ascii="Merriweather" w:eastAsia="Merriweather" w:hAnsi="Merriweather" w:cs="Merriweather"/>
          <w:b/>
          <w:u w:val="single"/>
        </w:rPr>
      </w:pPr>
      <w:r>
        <w:rPr>
          <w:rFonts w:ascii="Merriweather" w:eastAsia="Merriweather" w:hAnsi="Merriweather" w:cs="Merriweather"/>
          <w:b/>
          <w:u w:val="single"/>
        </w:rPr>
        <w:t>Proposed catalog copy:</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To be eligible for Departmental Honors in the Department of Health Promotion, students must meet the following requirements. </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 xml:space="preserve"> Health Administration, Health Communication, or Health Promotion major, OR Community Health or Health Communication minor.</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Admissions standards of either the Overall GPA Pathway OR the Major GPA Pathway.</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 xml:space="preserve">Successful completion of the 12 </w:t>
      </w:r>
      <w:proofErr w:type="spellStart"/>
      <w:r>
        <w:rPr>
          <w:rFonts w:ascii="Merriweather" w:eastAsia="Merriweather" w:hAnsi="Merriweather" w:cs="Merriweather"/>
        </w:rPr>
        <w:t>s.h</w:t>
      </w:r>
      <w:proofErr w:type="spellEnd"/>
      <w:r>
        <w:rPr>
          <w:rFonts w:ascii="Merriweather" w:eastAsia="Merriweather" w:hAnsi="Merriweather" w:cs="Merriweather"/>
        </w:rPr>
        <w:t>. Honors Curriculum.</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Specified GPA requirements listed in their Admission Pathway.</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Both native and transfer students are eligible.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Students who fail to maintain the specified GP</w:t>
      </w:r>
      <w:bookmarkStart w:id="0" w:name="_GoBack"/>
      <w:bookmarkEnd w:id="0"/>
      <w:r>
        <w:rPr>
          <w:rFonts w:ascii="Merriweather" w:eastAsia="Merriweather" w:hAnsi="Merriweather" w:cs="Merriweather"/>
        </w:rPr>
        <w:t>A for their admission path will be dismissed from the program.</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Students dismissed from the Departmental Honors program may request readmission ONE TIME.  Students become eligible to apply for readmission by:</w:t>
      </w:r>
    </w:p>
    <w:p w:rsidR="005C3EA3" w:rsidRDefault="00BB5D53">
      <w:pPr>
        <w:numPr>
          <w:ilvl w:val="0"/>
          <w:numId w:val="1"/>
        </w:numPr>
        <w:contextualSpacing/>
      </w:pPr>
      <w:r>
        <w:rPr>
          <w:rFonts w:ascii="Merriweather" w:eastAsia="Merriweather" w:hAnsi="Merriweather" w:cs="Merriweather"/>
        </w:rPr>
        <w:t xml:space="preserve">raising their cumulative and/or major GPA to the levels specified in the </w:t>
      </w:r>
      <w:r>
        <w:rPr>
          <w:rFonts w:ascii="Merriweather" w:eastAsia="Merriweather" w:hAnsi="Merriweather" w:cs="Merriweather"/>
          <w:b/>
        </w:rPr>
        <w:t>admission path requirements under which they were originally admitted</w:t>
      </w:r>
      <w:r>
        <w:rPr>
          <w:rFonts w:ascii="Merriweather" w:eastAsia="Merriweather" w:hAnsi="Merriweather" w:cs="Merriweather"/>
        </w:rPr>
        <w:t xml:space="preserve"> to the program; and</w:t>
      </w:r>
    </w:p>
    <w:p w:rsidR="005C3EA3" w:rsidRDefault="00BB5D53">
      <w:pPr>
        <w:numPr>
          <w:ilvl w:val="0"/>
          <w:numId w:val="1"/>
        </w:numPr>
        <w:contextualSpacing/>
        <w:rPr>
          <w:rFonts w:ascii="Merriweather" w:eastAsia="Merriweather" w:hAnsi="Merriweather" w:cs="Merriweather"/>
        </w:rPr>
      </w:pPr>
      <w:r>
        <w:rPr>
          <w:rFonts w:ascii="Merriweather" w:eastAsia="Merriweather" w:hAnsi="Merriweather" w:cs="Merriweather"/>
        </w:rPr>
        <w:t>Filing a petition seeking readmission with the Health Promotion Departmental Honors Coordinator.</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Students who have been dismissed from the program more than one time are not eligible for readmission.</w:t>
      </w:r>
    </w:p>
    <w:p w:rsidR="005C3EA3" w:rsidRDefault="005C3EA3">
      <w:pPr>
        <w:rPr>
          <w:rFonts w:ascii="Merriweather" w:eastAsia="Merriweather" w:hAnsi="Merriweather" w:cs="Merriweather"/>
        </w:rPr>
      </w:pP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b/>
        </w:rPr>
      </w:pPr>
      <w:bookmarkStart w:id="1" w:name="_gjdgxs" w:colFirst="0" w:colLast="0"/>
      <w:bookmarkEnd w:id="1"/>
      <w:r>
        <w:rPr>
          <w:rFonts w:ascii="Merriweather" w:eastAsia="Merriweather" w:hAnsi="Merriweather" w:cs="Merriweather"/>
          <w:b/>
        </w:rPr>
        <w:t>Pathways for Admission:</w:t>
      </w:r>
    </w:p>
    <w:p w:rsidR="005C3EA3" w:rsidRDefault="005C3EA3">
      <w:pPr>
        <w:ind w:left="720"/>
        <w:rPr>
          <w:rFonts w:ascii="Merriweather" w:eastAsia="Merriweather" w:hAnsi="Merriweather" w:cs="Merriweather"/>
        </w:rPr>
      </w:pPr>
    </w:p>
    <w:p w:rsidR="005C3EA3" w:rsidRDefault="00BB5D53">
      <w:pPr>
        <w:ind w:left="720"/>
        <w:rPr>
          <w:rFonts w:ascii="Merriweather" w:eastAsia="Merriweather" w:hAnsi="Merriweather" w:cs="Merriweather"/>
        </w:rPr>
      </w:pPr>
      <w:r>
        <w:rPr>
          <w:rFonts w:ascii="Merriweather" w:eastAsia="Merriweather" w:hAnsi="Merriweather" w:cs="Merriweather"/>
          <w:b/>
          <w:i/>
        </w:rPr>
        <w:t>Overall GPA Pathway</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 xml:space="preserve">Completion of at least 12 </w:t>
      </w:r>
      <w:proofErr w:type="spellStart"/>
      <w:r>
        <w:rPr>
          <w:rFonts w:ascii="Merriweather" w:eastAsia="Merriweather" w:hAnsi="Merriweather" w:cs="Merriweather"/>
        </w:rPr>
        <w:t>s.h</w:t>
      </w:r>
      <w:proofErr w:type="spellEnd"/>
      <w:r>
        <w:rPr>
          <w:rFonts w:ascii="Merriweather" w:eastAsia="Merriweather" w:hAnsi="Merriweather" w:cs="Merriweather"/>
        </w:rPr>
        <w:t>. of coursework at EIU with a cumulative GPA of 3.5 or higher;</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 xml:space="preserve">HPR Major GPA OR Community Health Minor of 3.5 or higher, based on at least 6 </w:t>
      </w:r>
      <w:proofErr w:type="spellStart"/>
      <w:r>
        <w:rPr>
          <w:rFonts w:ascii="Merriweather" w:eastAsia="Merriweather" w:hAnsi="Merriweather" w:cs="Merriweather"/>
        </w:rPr>
        <w:t>s.h</w:t>
      </w:r>
      <w:proofErr w:type="spellEnd"/>
      <w:r>
        <w:rPr>
          <w:rFonts w:ascii="Merriweather" w:eastAsia="Merriweather" w:hAnsi="Merriweather" w:cs="Merriweather"/>
        </w:rPr>
        <w:t>. of HPR/HCM courses;</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Permission of the Health Promotion Departmental Honors Coordinator; and</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Permission of the Dean of the Pine Honors College.</w:t>
      </w:r>
    </w:p>
    <w:p w:rsidR="005C3EA3" w:rsidRDefault="005C3EA3">
      <w:pPr>
        <w:ind w:left="720"/>
        <w:rPr>
          <w:rFonts w:ascii="Merriweather" w:eastAsia="Merriweather" w:hAnsi="Merriweather" w:cs="Merriweather"/>
          <w:b/>
        </w:rPr>
      </w:pPr>
    </w:p>
    <w:p w:rsidR="005C3EA3" w:rsidRDefault="00BB5D53">
      <w:pPr>
        <w:ind w:left="720"/>
        <w:rPr>
          <w:rFonts w:ascii="Merriweather" w:eastAsia="Merriweather" w:hAnsi="Merriweather" w:cs="Merriweather"/>
        </w:rPr>
      </w:pPr>
      <w:r>
        <w:rPr>
          <w:rFonts w:ascii="Merriweather" w:eastAsia="Merriweather" w:hAnsi="Merriweather" w:cs="Merriweather"/>
          <w:b/>
          <w:i/>
        </w:rPr>
        <w:t>Major GPA Pathway</w:t>
      </w:r>
      <w:r>
        <w:rPr>
          <w:rFonts w:ascii="Merriweather" w:eastAsia="Merriweather" w:hAnsi="Merriweather" w:cs="Merriweather"/>
          <w:b/>
        </w:rPr>
        <w:t xml:space="preserve"> </w:t>
      </w:r>
    </w:p>
    <w:p w:rsidR="005C3EA3" w:rsidRDefault="00BB5D53">
      <w:pPr>
        <w:numPr>
          <w:ilvl w:val="0"/>
          <w:numId w:val="4"/>
        </w:numPr>
        <w:ind w:left="1440"/>
        <w:contextualSpacing/>
        <w:rPr>
          <w:rFonts w:ascii="Merriweather" w:eastAsia="Merriweather" w:hAnsi="Merriweather" w:cs="Merriweather"/>
        </w:rPr>
      </w:pPr>
      <w:r>
        <w:rPr>
          <w:rFonts w:ascii="Merriweather" w:eastAsia="Merriweather" w:hAnsi="Merriweather" w:cs="Merriweather"/>
        </w:rPr>
        <w:t xml:space="preserve">Completion of at least 12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of coursework at EIU, and at least 9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HPR/HCM courses,  with a </w:t>
      </w:r>
      <w:r>
        <w:rPr>
          <w:rFonts w:ascii="Merriweather" w:eastAsia="Merriweather" w:hAnsi="Merriweather" w:cs="Merriweather"/>
          <w:b/>
        </w:rPr>
        <w:t>MAJOR GPA</w:t>
      </w:r>
      <w:r>
        <w:rPr>
          <w:rFonts w:ascii="Merriweather" w:eastAsia="Merriweather" w:hAnsi="Merriweather" w:cs="Merriweather"/>
        </w:rPr>
        <w:t xml:space="preserve"> of 3.75 or higher;</w:t>
      </w:r>
    </w:p>
    <w:p w:rsidR="005C3EA3" w:rsidRDefault="00BB5D53">
      <w:pPr>
        <w:numPr>
          <w:ilvl w:val="0"/>
          <w:numId w:val="4"/>
        </w:numPr>
        <w:ind w:left="1440"/>
        <w:contextualSpacing/>
        <w:rPr>
          <w:rFonts w:ascii="Merriweather" w:eastAsia="Merriweather" w:hAnsi="Merriweather" w:cs="Merriweather"/>
        </w:rPr>
      </w:pPr>
      <w:r>
        <w:rPr>
          <w:rFonts w:ascii="Merriweather" w:eastAsia="Merriweather" w:hAnsi="Merriweather" w:cs="Merriweather"/>
        </w:rPr>
        <w:t>Permission of the Health Promotion Departmental Honors Coordinator; and</w:t>
      </w:r>
    </w:p>
    <w:p w:rsidR="005C3EA3" w:rsidRDefault="00BB5D53">
      <w:pPr>
        <w:numPr>
          <w:ilvl w:val="0"/>
          <w:numId w:val="4"/>
        </w:numPr>
        <w:ind w:left="1440"/>
        <w:contextualSpacing/>
        <w:rPr>
          <w:rFonts w:ascii="Merriweather" w:eastAsia="Merriweather" w:hAnsi="Merriweather" w:cs="Merriweather"/>
        </w:rPr>
      </w:pPr>
      <w:r>
        <w:rPr>
          <w:rFonts w:ascii="Merriweather" w:eastAsia="Merriweather" w:hAnsi="Merriweather" w:cs="Merriweather"/>
        </w:rPr>
        <w:t>Permission of the Dean of the Pine Honors College.</w:t>
      </w:r>
    </w:p>
    <w:p w:rsidR="005C3EA3" w:rsidRDefault="005C3EA3">
      <w:pPr>
        <w:rPr>
          <w:rFonts w:ascii="Merriweather" w:eastAsia="Merriweather" w:hAnsi="Merriweather" w:cs="Merriweather"/>
          <w:b/>
        </w:rPr>
      </w:pPr>
    </w:p>
    <w:p w:rsidR="005C3EA3" w:rsidRDefault="005C3EA3">
      <w:pPr>
        <w:rPr>
          <w:rFonts w:ascii="Merriweather" w:eastAsia="Merriweather" w:hAnsi="Merriweather" w:cs="Merriweather"/>
          <w:b/>
        </w:rPr>
      </w:pPr>
    </w:p>
    <w:p w:rsidR="005C3EA3" w:rsidRDefault="005C3EA3">
      <w:pPr>
        <w:rPr>
          <w:rFonts w:ascii="Merriweather" w:eastAsia="Merriweather" w:hAnsi="Merriweather" w:cs="Merriweather"/>
        </w:rPr>
      </w:pPr>
    </w:p>
    <w:p w:rsidR="009F4BAD" w:rsidRDefault="009F4BAD">
      <w:pPr>
        <w:rPr>
          <w:rFonts w:ascii="Merriweather" w:eastAsia="Merriweather" w:hAnsi="Merriweather" w:cs="Merriweather"/>
        </w:rPr>
      </w:pP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b/>
        </w:rPr>
        <w:t>Required Courses (6 semester hours):</w:t>
      </w:r>
    </w:p>
    <w:p w:rsidR="005C3EA3" w:rsidRDefault="005C3EA3">
      <w:pPr>
        <w:rPr>
          <w:rFonts w:ascii="Merriweather" w:eastAsia="Merriweather" w:hAnsi="Merriweather" w:cs="Merriweather"/>
        </w:rPr>
      </w:pP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HPR 4555 Health Promotion Honors Research (3 </w:t>
      </w:r>
      <w:proofErr w:type="spellStart"/>
      <w:r>
        <w:rPr>
          <w:rFonts w:ascii="Merriweather" w:eastAsia="Merriweather" w:hAnsi="Merriweather" w:cs="Merriweather"/>
        </w:rPr>
        <w:t>s.h</w:t>
      </w:r>
      <w:proofErr w:type="spellEnd"/>
      <w:r>
        <w:rPr>
          <w:rFonts w:ascii="Merriweather" w:eastAsia="Merriweather" w:hAnsi="Merriweather" w:cs="Merriweather"/>
        </w:rPr>
        <w:t>.) [substitutes for HST 3800]</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HPR 4644 Health Promotion Honors Thesis (3 </w:t>
      </w:r>
      <w:proofErr w:type="spellStart"/>
      <w:r>
        <w:rPr>
          <w:rFonts w:ascii="Merriweather" w:eastAsia="Merriweather" w:hAnsi="Merriweather" w:cs="Merriweather"/>
        </w:rPr>
        <w:t>s.h</w:t>
      </w:r>
      <w:proofErr w:type="spellEnd"/>
      <w:r>
        <w:rPr>
          <w:rFonts w:ascii="Merriweather" w:eastAsia="Merriweather" w:hAnsi="Merriweather" w:cs="Merriweather"/>
        </w:rPr>
        <w:t>.)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b/>
        </w:rPr>
      </w:pPr>
      <w:r>
        <w:rPr>
          <w:rFonts w:ascii="Merriweather" w:eastAsia="Merriweather" w:hAnsi="Merriweather" w:cs="Merriweather"/>
          <w:b/>
        </w:rPr>
        <w:t>Elective Courses (select 6 semester hours):</w:t>
      </w:r>
    </w:p>
    <w:p w:rsidR="005C3EA3" w:rsidRDefault="005C3EA3">
      <w:pPr>
        <w:ind w:left="720"/>
        <w:rPr>
          <w:rFonts w:ascii="Merriweather" w:eastAsia="Merriweather" w:hAnsi="Merriweather" w:cs="Merriweather"/>
        </w:rPr>
      </w:pP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Graduate level Health Promotion course approved by the Health Promotion Departmental Honors Coordinator and the Health Promotion Graduate Coordinator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Study Abroad approved by the Health Promotion Departmental Honors Coordinator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HPR 4444 Health Promotion Honors Independent Study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University Honors course approved by the Health Promotion Departmental Honors Coordinator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Internship with approval of Health Promotion Departmental Honors Coordinator, Health Promotion Internship Coordinator, and Undergraduate Academic Advisor. </w:t>
      </w:r>
    </w:p>
    <w:p w:rsidR="005C3EA3" w:rsidRDefault="00BB5D53">
      <w:pPr>
        <w:numPr>
          <w:ilvl w:val="1"/>
          <w:numId w:val="3"/>
        </w:numPr>
        <w:contextualSpacing/>
        <w:rPr>
          <w:rFonts w:ascii="Merriweather" w:eastAsia="Merriweather" w:hAnsi="Merriweather" w:cs="Merriweather"/>
        </w:rPr>
      </w:pPr>
      <w:r>
        <w:rPr>
          <w:rFonts w:ascii="Merriweather" w:eastAsia="Merriweather" w:hAnsi="Merriweather" w:cs="Merriweather"/>
        </w:rPr>
        <w:t>Note:  For Health Promotion, Health Administration, and Health Communication majors, the Honors Internship must be supplemental to the internship required for the academic major program.</w:t>
      </w:r>
    </w:p>
    <w:p w:rsidR="005C3EA3" w:rsidRDefault="005C3EA3">
      <w:pPr>
        <w:rPr>
          <w:rFonts w:ascii="Merriweather" w:eastAsia="Merriweather" w:hAnsi="Merriweather" w:cs="Merriweather"/>
        </w:rPr>
      </w:pPr>
    </w:p>
    <w:p w:rsidR="00BB5D53" w:rsidRDefault="00BB5D53">
      <w:pPr>
        <w:rPr>
          <w:rFonts w:ascii="Merriweather" w:eastAsia="Merriweather" w:hAnsi="Merriweather" w:cs="Merriweather"/>
        </w:rPr>
      </w:pPr>
      <w:r>
        <w:rPr>
          <w:rFonts w:ascii="Merriweather" w:eastAsia="Merriweather" w:hAnsi="Merriweather" w:cs="Merriweather"/>
        </w:rPr>
        <w:t>* Note:  may substitute for elective hours in the major or minor with Academic Advisor approval.</w:t>
      </w: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r>
        <w:rPr>
          <w:rFonts w:ascii="Merriweather" w:eastAsia="Merriweather" w:hAnsi="Merriweather" w:cs="Merriweather"/>
        </w:rPr>
        <w:t>Approved by DCC:  10/15/2018</w:t>
      </w:r>
    </w:p>
    <w:p w:rsidR="00BB5D53" w:rsidRDefault="00BB5D53">
      <w:pPr>
        <w:rPr>
          <w:rFonts w:ascii="Merriweather" w:eastAsia="Merriweather" w:hAnsi="Merriweather" w:cs="Merriweather"/>
        </w:rPr>
      </w:pPr>
      <w:r>
        <w:rPr>
          <w:rFonts w:ascii="Merriweather" w:eastAsia="Merriweather" w:hAnsi="Merriweather" w:cs="Merriweather"/>
        </w:rPr>
        <w:t>Approved by CCC:</w:t>
      </w:r>
    </w:p>
    <w:p w:rsidR="00BB5D53" w:rsidRDefault="00BB5D53">
      <w:pPr>
        <w:rPr>
          <w:rFonts w:ascii="Merriweather" w:eastAsia="Merriweather" w:hAnsi="Merriweather" w:cs="Merriweather"/>
        </w:rPr>
      </w:pPr>
      <w:r>
        <w:rPr>
          <w:rFonts w:ascii="Merriweather" w:eastAsia="Merriweather" w:hAnsi="Merriweather" w:cs="Merriweather"/>
        </w:rPr>
        <w:t>Approved by Honors Council:</w:t>
      </w:r>
    </w:p>
    <w:p w:rsidR="005C3EA3" w:rsidRDefault="00BB5D53">
      <w:pPr>
        <w:rPr>
          <w:rFonts w:ascii="Merriweather" w:eastAsia="Merriweather" w:hAnsi="Merriweather" w:cs="Merriweather"/>
        </w:rPr>
      </w:pPr>
      <w:r>
        <w:rPr>
          <w:rFonts w:ascii="Merriweather" w:eastAsia="Merriweather" w:hAnsi="Merriweather" w:cs="Merriweather"/>
        </w:rPr>
        <w:t>Approved by CAA:</w:t>
      </w:r>
      <w:r>
        <w:br w:type="page"/>
      </w:r>
    </w:p>
    <w:p w:rsidR="005C3EA3" w:rsidRDefault="00BB5D53">
      <w:pPr>
        <w:rPr>
          <w:rFonts w:ascii="Merriweather" w:eastAsia="Merriweather" w:hAnsi="Merriweather" w:cs="Merriweather"/>
          <w:b/>
          <w:sz w:val="28"/>
          <w:szCs w:val="28"/>
        </w:rPr>
      </w:pPr>
      <w:r>
        <w:rPr>
          <w:rFonts w:ascii="Merriweather" w:eastAsia="Merriweather" w:hAnsi="Merriweather" w:cs="Merriweather"/>
          <w:b/>
          <w:sz w:val="28"/>
          <w:szCs w:val="28"/>
        </w:rPr>
        <w:lastRenderedPageBreak/>
        <w:t>Rationale:  Establishing an HPR Departmental Honors Program</w:t>
      </w:r>
    </w:p>
    <w:p w:rsidR="005C3EA3" w:rsidRDefault="005C3EA3">
      <w:pPr>
        <w:rPr>
          <w:rFonts w:ascii="Merriweather" w:eastAsia="Merriweather" w:hAnsi="Merriweather" w:cs="Merriweather"/>
          <w:b/>
        </w:rPr>
      </w:pPr>
    </w:p>
    <w:p w:rsidR="005C3EA3" w:rsidRDefault="00BB5D53">
      <w:pPr>
        <w:rPr>
          <w:rFonts w:ascii="Merriweather" w:eastAsia="Merriweather" w:hAnsi="Merriweather" w:cs="Merriweather"/>
        </w:rPr>
      </w:pPr>
      <w:r>
        <w:rPr>
          <w:rFonts w:ascii="Merriweather" w:eastAsia="Merriweather" w:hAnsi="Merriweather" w:cs="Merriweather"/>
        </w:rPr>
        <w:t>Departmental honors programs are particularly important to students who have already completed the bulk of their General Education Curriculum, but still want an honors experience.  A significant percentage of the students in the Department of Health Promotion programs come to us as major changes and/or transfer students, with their General Education courses completed.  Many of them investigate the University Honors program, but find that they are too far along in their college careers to make the University Honors program a practical and financially feasible option because of the “extra” courses they would have to complete above and beyond their degree requirements.</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Departmental honors programs fill that gap and allow admitted students to have a signature honors experience focused within their major discipline.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Over the past 10 years, we have had numerous requests from students to develop a Departmental Honors program, but the timing was never right.  With the advent of the College of Health and Human Services, the timing for developing new, innovative curricular programming has never been better.</w:t>
      </w:r>
    </w:p>
    <w:p w:rsidR="005C3EA3" w:rsidRDefault="005C3EA3">
      <w:pPr>
        <w:rPr>
          <w:rFonts w:ascii="Merriweather" w:eastAsia="Merriweather" w:hAnsi="Merriweather" w:cs="Merriweather"/>
        </w:rPr>
      </w:pPr>
    </w:p>
    <w:p w:rsidR="005C3EA3" w:rsidRDefault="005C3EA3">
      <w:pPr>
        <w:rPr>
          <w:rFonts w:ascii="Merriweather" w:eastAsia="Merriweather" w:hAnsi="Merriweather" w:cs="Merriweather"/>
          <w:b/>
          <w:sz w:val="28"/>
          <w:szCs w:val="28"/>
        </w:rPr>
      </w:pPr>
    </w:p>
    <w:p w:rsidR="005C3EA3" w:rsidRDefault="00BB5D53">
      <w:pPr>
        <w:rPr>
          <w:rFonts w:ascii="Merriweather" w:eastAsia="Merriweather" w:hAnsi="Merriweather" w:cs="Merriweather"/>
          <w:b/>
          <w:sz w:val="28"/>
          <w:szCs w:val="28"/>
        </w:rPr>
      </w:pPr>
      <w:r>
        <w:rPr>
          <w:rFonts w:ascii="Merriweather" w:eastAsia="Merriweather" w:hAnsi="Merriweather" w:cs="Merriweather"/>
          <w:b/>
          <w:sz w:val="28"/>
          <w:szCs w:val="28"/>
        </w:rPr>
        <w:t>Rationale:  Two Pathway Structure: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The </w:t>
      </w:r>
      <w:r>
        <w:rPr>
          <w:rFonts w:ascii="Merriweather" w:eastAsia="Merriweather" w:hAnsi="Merriweather" w:cs="Merriweather"/>
          <w:b/>
        </w:rPr>
        <w:t>Overall GPA Pathway</w:t>
      </w:r>
      <w:r>
        <w:rPr>
          <w:rFonts w:ascii="Merriweather" w:eastAsia="Merriweather" w:hAnsi="Merriweather" w:cs="Merriweather"/>
        </w:rPr>
        <w:t xml:space="preserve"> parallels the existing structure established by the Honors College and utilized in existing Departmental Honors programs across campus. As such, it is not controversial.</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The </w:t>
      </w:r>
      <w:r>
        <w:rPr>
          <w:rFonts w:ascii="Merriweather" w:eastAsia="Merriweather" w:hAnsi="Merriweather" w:cs="Merriweather"/>
          <w:b/>
        </w:rPr>
        <w:t>Major GPA Pathway</w:t>
      </w:r>
      <w:r>
        <w:rPr>
          <w:rFonts w:ascii="Merriweather" w:eastAsia="Merriweather" w:hAnsi="Merriweather" w:cs="Merriweather"/>
        </w:rPr>
        <w:t xml:space="preserve"> is an alternative specifically designed with native students in mind -- students who may have struggled their first year or so at EIU because they were in the wrong (for them) academic program, or had difficulty adjusting to college life.  As the vast majority (over 70%</w:t>
      </w:r>
      <w:proofErr w:type="gramStart"/>
      <w:r>
        <w:rPr>
          <w:rFonts w:ascii="Merriweather" w:eastAsia="Merriweather" w:hAnsi="Merriweather" w:cs="Merriweather"/>
        </w:rPr>
        <w:t>)  of</w:t>
      </w:r>
      <w:proofErr w:type="gramEnd"/>
      <w:r>
        <w:rPr>
          <w:rFonts w:ascii="Merriweather" w:eastAsia="Merriweather" w:hAnsi="Merriweather" w:cs="Merriweather"/>
        </w:rPr>
        <w:t xml:space="preserve"> students in our Department have come to us through major changes, our undergraduate academic advisor has become very well informed about the unique issues these students face.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sz w:val="24"/>
          <w:szCs w:val="24"/>
        </w:rPr>
      </w:pPr>
      <w:r>
        <w:rPr>
          <w:rFonts w:ascii="Merriweather" w:eastAsia="Merriweather" w:hAnsi="Merriweather" w:cs="Merriweather"/>
          <w:b/>
          <w:i/>
          <w:sz w:val="24"/>
          <w:szCs w:val="24"/>
        </w:rPr>
        <w:t>The current requirements for Departmental Honors place our native students at a disadvantage as compared to our transfer students.</w:t>
      </w:r>
      <w:r>
        <w:rPr>
          <w:rFonts w:ascii="Merriweather" w:eastAsia="Merriweather" w:hAnsi="Merriweather" w:cs="Merriweather"/>
          <w:sz w:val="24"/>
          <w:szCs w:val="24"/>
        </w:rPr>
        <w:t xml:space="preserve">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For example: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Student A and Student B took identical courses for the first 60 semester hours of their college careers, and earned identical grades which resulted in a CGPA of 2.75 for each of them.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Student A took her first 60 hours at a community college, so her CGPA does not transfer over to EIU.  In essence, she gets to start completely over with a new CGPA based solely on her coursework at EIU.  Student A earns a 3.80 semester GPA (based on 15 </w:t>
      </w:r>
      <w:proofErr w:type="spellStart"/>
      <w:r>
        <w:rPr>
          <w:rFonts w:ascii="Merriweather" w:eastAsia="Merriweather" w:hAnsi="Merriweather" w:cs="Merriweather"/>
        </w:rPr>
        <w:t>s.h</w:t>
      </w:r>
      <w:proofErr w:type="spellEnd"/>
      <w:r>
        <w:rPr>
          <w:rFonts w:ascii="Merriweather" w:eastAsia="Merriweather" w:hAnsi="Merriweather" w:cs="Merriweather"/>
        </w:rPr>
        <w:t>.) her first term at EIU.  Her EIU CGPA is therefore a 3.80.</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Student B took her first 60 </w:t>
      </w:r>
      <w:proofErr w:type="spellStart"/>
      <w:r>
        <w:rPr>
          <w:rFonts w:ascii="Merriweather" w:eastAsia="Merriweather" w:hAnsi="Merriweather" w:cs="Merriweather"/>
        </w:rPr>
        <w:t>s.h</w:t>
      </w:r>
      <w:proofErr w:type="spellEnd"/>
      <w:r>
        <w:rPr>
          <w:rFonts w:ascii="Merriweather" w:eastAsia="Merriweather" w:hAnsi="Merriweather" w:cs="Merriweather"/>
        </w:rPr>
        <w:t>. at EIU, so her CGPA carries over into her junior year.  Student B will carry those grades in her CGPA her entire EIU career.  If she also earns a 3.80 semester GPA in the first term of her junior year, her CPGA will improve, but only to a 2.96.</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The </w:t>
      </w:r>
      <w:r>
        <w:rPr>
          <w:rFonts w:ascii="Merriweather" w:eastAsia="Merriweather" w:hAnsi="Merriweather" w:cs="Merriweather"/>
          <w:b/>
        </w:rPr>
        <w:t>Major GPA Pathway</w:t>
      </w:r>
      <w:r>
        <w:rPr>
          <w:rFonts w:ascii="Merriweather" w:eastAsia="Merriweather" w:hAnsi="Merriweather" w:cs="Merriweather"/>
        </w:rPr>
        <w:t xml:space="preserve"> provides a mechanism for students who struggled during the early part of their EIU career to have access to the opportunities an Honors experience provides IF they can prove based on an exemplary Major GPA that they are capable of performing at the academic level Honors coursework requires, rather than punishing them for taking their first two years of exploration and struggle at EIU.</w:t>
      </w:r>
    </w:p>
    <w:sectPr w:rsidR="005C3EA3">
      <w:pgSz w:w="12240" w:h="15840"/>
      <w:pgMar w:top="720" w:right="450" w:bottom="720"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93DB3"/>
    <w:multiLevelType w:val="multilevel"/>
    <w:tmpl w:val="73E0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59379F"/>
    <w:multiLevelType w:val="multilevel"/>
    <w:tmpl w:val="206C2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5E39BA"/>
    <w:multiLevelType w:val="multilevel"/>
    <w:tmpl w:val="93908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1C6F31"/>
    <w:multiLevelType w:val="multilevel"/>
    <w:tmpl w:val="D9D8C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B26FF1"/>
    <w:multiLevelType w:val="multilevel"/>
    <w:tmpl w:val="76F2B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A3"/>
    <w:rsid w:val="001B614A"/>
    <w:rsid w:val="005C3EA3"/>
    <w:rsid w:val="009F4BAD"/>
    <w:rsid w:val="00BB5D53"/>
    <w:rsid w:val="00C1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1CF9C-022B-4404-A7D8-F1456D27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B61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Janet L Fopay</cp:lastModifiedBy>
  <cp:revision>5</cp:revision>
  <cp:lastPrinted>2018-10-24T16:25:00Z</cp:lastPrinted>
  <dcterms:created xsi:type="dcterms:W3CDTF">2018-10-15T14:32:00Z</dcterms:created>
  <dcterms:modified xsi:type="dcterms:W3CDTF">2018-10-24T16:25:00Z</dcterms:modified>
</cp:coreProperties>
</file>