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D5" w:rsidRDefault="00B822D5" w:rsidP="00B822D5">
      <w:pPr>
        <w:jc w:val="center"/>
        <w:rPr>
          <w:b/>
          <w:bCs/>
        </w:rPr>
      </w:pPr>
      <w:r>
        <w:rPr>
          <w:b/>
          <w:bCs/>
        </w:rPr>
        <w:t>Student Learning Assessment Program</w:t>
      </w:r>
    </w:p>
    <w:p w:rsidR="00B822D5" w:rsidRDefault="00B822D5" w:rsidP="00B822D5">
      <w:pPr>
        <w:pStyle w:val="Heading2"/>
      </w:pPr>
      <w:r>
        <w:t>Response to Summary Form</w:t>
      </w:r>
    </w:p>
    <w:p w:rsidR="00B822D5" w:rsidRDefault="00B822D5" w:rsidP="00B822D5">
      <w:pPr>
        <w:jc w:val="center"/>
      </w:pPr>
      <w:r>
        <w:rPr>
          <w:b/>
          <w:bCs/>
        </w:rPr>
        <w:t xml:space="preserve">Undergraduate Program </w:t>
      </w:r>
      <w:r w:rsidR="00DA6BB1">
        <w:rPr>
          <w:b/>
          <w:bCs/>
        </w:rPr>
        <w:t>201</w:t>
      </w:r>
      <w:r w:rsidR="004844A9">
        <w:rPr>
          <w:b/>
          <w:bCs/>
        </w:rPr>
        <w:t>8</w:t>
      </w:r>
    </w:p>
    <w:p w:rsidR="00B822D5" w:rsidRDefault="00B822D5" w:rsidP="00B822D5">
      <w:pPr>
        <w:jc w:val="center"/>
      </w:pPr>
    </w:p>
    <w:p w:rsidR="00B822D5" w:rsidRDefault="00B822D5" w:rsidP="00B822D5">
      <w:r>
        <w:t>Department:  Women’s</w:t>
      </w:r>
      <w:r w:rsidR="004844A9">
        <w:t>, Gender, and Sexuality</w:t>
      </w:r>
      <w:r>
        <w:t xml:space="preserve"> Studies</w:t>
      </w:r>
    </w:p>
    <w:p w:rsidR="00B822D5" w:rsidRDefault="00B822D5" w:rsidP="00B822D5">
      <w:pPr>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070"/>
        <w:gridCol w:w="5850"/>
      </w:tblGrid>
      <w:tr w:rsidR="00B822D5" w:rsidTr="004844A9">
        <w:tc>
          <w:tcPr>
            <w:tcW w:w="1440" w:type="dxa"/>
          </w:tcPr>
          <w:p w:rsidR="00B822D5" w:rsidRDefault="00B822D5" w:rsidP="00B822D5">
            <w:pPr>
              <w:jc w:val="center"/>
              <w:rPr>
                <w:b/>
                <w:bCs/>
                <w:sz w:val="22"/>
              </w:rPr>
            </w:pPr>
            <w:r>
              <w:rPr>
                <w:b/>
                <w:bCs/>
                <w:sz w:val="22"/>
              </w:rPr>
              <w:t>Category</w:t>
            </w:r>
          </w:p>
        </w:tc>
        <w:tc>
          <w:tcPr>
            <w:tcW w:w="2070" w:type="dxa"/>
          </w:tcPr>
          <w:p w:rsidR="00B822D5" w:rsidRDefault="00B822D5" w:rsidP="00B822D5">
            <w:pPr>
              <w:jc w:val="center"/>
              <w:rPr>
                <w:b/>
                <w:bCs/>
                <w:sz w:val="22"/>
              </w:rPr>
            </w:pPr>
            <w:r>
              <w:rPr>
                <w:b/>
                <w:bCs/>
                <w:sz w:val="22"/>
              </w:rPr>
              <w:t>Level</w:t>
            </w:r>
            <w:r>
              <w:rPr>
                <w:rStyle w:val="FootnoteReference"/>
                <w:b/>
                <w:bCs/>
                <w:sz w:val="22"/>
              </w:rPr>
              <w:footnoteReference w:customMarkFollows="1" w:id="1"/>
              <w:t>*</w:t>
            </w:r>
          </w:p>
        </w:tc>
        <w:tc>
          <w:tcPr>
            <w:tcW w:w="5850" w:type="dxa"/>
          </w:tcPr>
          <w:p w:rsidR="00B822D5" w:rsidRDefault="00B822D5" w:rsidP="00B822D5">
            <w:pPr>
              <w:pStyle w:val="Heading1"/>
              <w:jc w:val="center"/>
              <w:rPr>
                <w:sz w:val="22"/>
              </w:rPr>
            </w:pPr>
            <w:r>
              <w:rPr>
                <w:sz w:val="22"/>
              </w:rPr>
              <w:t>Comments</w:t>
            </w:r>
          </w:p>
          <w:p w:rsidR="00B822D5" w:rsidRDefault="00B822D5" w:rsidP="00B822D5">
            <w:pPr>
              <w:jc w:val="center"/>
              <w:rPr>
                <w:b/>
                <w:bCs/>
                <w:sz w:val="22"/>
              </w:rPr>
            </w:pPr>
          </w:p>
        </w:tc>
      </w:tr>
      <w:tr w:rsidR="00B822D5" w:rsidTr="004844A9">
        <w:tc>
          <w:tcPr>
            <w:tcW w:w="1440" w:type="dxa"/>
          </w:tcPr>
          <w:p w:rsidR="00B822D5" w:rsidRDefault="00B822D5" w:rsidP="00B822D5">
            <w:pPr>
              <w:pStyle w:val="Heading1"/>
              <w:rPr>
                <w:sz w:val="22"/>
              </w:rPr>
            </w:pPr>
            <w:r>
              <w:rPr>
                <w:sz w:val="22"/>
              </w:rPr>
              <w:t>Learning Objectives</w:t>
            </w:r>
          </w:p>
        </w:tc>
        <w:tc>
          <w:tcPr>
            <w:tcW w:w="2070" w:type="dxa"/>
          </w:tcPr>
          <w:p w:rsidR="00B822D5" w:rsidRDefault="00D73473" w:rsidP="00F25CCB">
            <w:pPr>
              <w:rPr>
                <w:sz w:val="22"/>
              </w:rPr>
            </w:pPr>
            <w:r>
              <w:rPr>
                <w:sz w:val="22"/>
              </w:rPr>
              <w:t xml:space="preserve">Level </w:t>
            </w:r>
            <w:r w:rsidR="00F25CCB">
              <w:rPr>
                <w:sz w:val="22"/>
              </w:rPr>
              <w:t>3</w:t>
            </w:r>
            <w:r w:rsidR="008B6663">
              <w:rPr>
                <w:sz w:val="22"/>
              </w:rPr>
              <w:t xml:space="preserve">, </w:t>
            </w:r>
            <w:r w:rsidR="004844A9">
              <w:t>Women’s, Gender, and Sexuality Studies</w:t>
            </w:r>
            <w:r w:rsidR="004844A9">
              <w:rPr>
                <w:sz w:val="22"/>
              </w:rPr>
              <w:t xml:space="preserve"> </w:t>
            </w:r>
            <w:r w:rsidR="008B6663">
              <w:rPr>
                <w:sz w:val="22"/>
              </w:rPr>
              <w:t>minor</w:t>
            </w:r>
          </w:p>
        </w:tc>
        <w:tc>
          <w:tcPr>
            <w:tcW w:w="5850" w:type="dxa"/>
          </w:tcPr>
          <w:p w:rsidR="00B822D5" w:rsidRDefault="00B822D5" w:rsidP="006A4E4D">
            <w:pPr>
              <w:rPr>
                <w:sz w:val="22"/>
              </w:rPr>
            </w:pPr>
            <w:r>
              <w:rPr>
                <w:sz w:val="22"/>
              </w:rPr>
              <w:t>The objectives here are clear</w:t>
            </w:r>
            <w:r w:rsidR="006A4E4D">
              <w:rPr>
                <w:sz w:val="22"/>
              </w:rPr>
              <w:t xml:space="preserve">, measurable, </w:t>
            </w:r>
            <w:r w:rsidR="00161D02">
              <w:rPr>
                <w:sz w:val="22"/>
              </w:rPr>
              <w:t>and programmatic</w:t>
            </w:r>
            <w:r>
              <w:rPr>
                <w:sz w:val="22"/>
              </w:rPr>
              <w:t>.</w:t>
            </w:r>
            <w:r w:rsidR="00161D02">
              <w:rPr>
                <w:sz w:val="22"/>
              </w:rPr>
              <w:t xml:space="preserve">  </w:t>
            </w:r>
            <w:r w:rsidR="00565AB2">
              <w:rPr>
                <w:sz w:val="22"/>
              </w:rPr>
              <w:t>Four of the five undergraduate learning goals have been adopted by this minor:  responsible citizenship, critical thinking, speaking, and writing</w:t>
            </w:r>
            <w:r w:rsidR="006A4E4D">
              <w:rPr>
                <w:sz w:val="22"/>
              </w:rPr>
              <w:t>.</w:t>
            </w:r>
            <w:r w:rsidR="004844A9">
              <w:rPr>
                <w:sz w:val="22"/>
              </w:rPr>
              <w:t xml:space="preserve">  I might suggest that your objectives omit language such as “this essay/exam” because you want the students to do the learning and the demonstrating through the various artifacts.  So, “students will demonstrate critical thinking about gender issues. . .” and so forth to put the emphasis on student learning.  </w:t>
            </w:r>
          </w:p>
        </w:tc>
      </w:tr>
      <w:tr w:rsidR="00B822D5" w:rsidTr="004844A9">
        <w:tc>
          <w:tcPr>
            <w:tcW w:w="1440" w:type="dxa"/>
          </w:tcPr>
          <w:p w:rsidR="00B822D5" w:rsidRDefault="00B822D5" w:rsidP="00B822D5">
            <w:pPr>
              <w:rPr>
                <w:b/>
                <w:bCs/>
                <w:sz w:val="22"/>
              </w:rPr>
            </w:pPr>
            <w:r>
              <w:rPr>
                <w:b/>
                <w:bCs/>
                <w:sz w:val="22"/>
              </w:rPr>
              <w:t>How, Where, and When Assessed</w:t>
            </w:r>
          </w:p>
        </w:tc>
        <w:tc>
          <w:tcPr>
            <w:tcW w:w="2070" w:type="dxa"/>
          </w:tcPr>
          <w:p w:rsidR="00B822D5" w:rsidRDefault="008B6663" w:rsidP="00B822D5">
            <w:pPr>
              <w:rPr>
                <w:sz w:val="22"/>
              </w:rPr>
            </w:pPr>
            <w:r>
              <w:rPr>
                <w:sz w:val="22"/>
              </w:rPr>
              <w:t xml:space="preserve">Level </w:t>
            </w:r>
            <w:r w:rsidR="00B822D5">
              <w:rPr>
                <w:sz w:val="22"/>
              </w:rPr>
              <w:t>2</w:t>
            </w:r>
            <w:r>
              <w:rPr>
                <w:sz w:val="22"/>
              </w:rPr>
              <w:t xml:space="preserve">, </w:t>
            </w:r>
            <w:r w:rsidR="004844A9">
              <w:t>Women’s, Gender, and Sexuality Studies</w:t>
            </w:r>
            <w:r w:rsidR="004844A9">
              <w:rPr>
                <w:sz w:val="22"/>
              </w:rPr>
              <w:t xml:space="preserve"> </w:t>
            </w:r>
            <w:r>
              <w:rPr>
                <w:sz w:val="22"/>
              </w:rPr>
              <w:t>minor</w:t>
            </w:r>
          </w:p>
        </w:tc>
        <w:tc>
          <w:tcPr>
            <w:tcW w:w="5850" w:type="dxa"/>
          </w:tcPr>
          <w:p w:rsidR="00B822D5" w:rsidRDefault="006A4E4D" w:rsidP="004844A9">
            <w:pPr>
              <w:rPr>
                <w:sz w:val="22"/>
              </w:rPr>
            </w:pPr>
            <w:r>
              <w:rPr>
                <w:sz w:val="22"/>
              </w:rPr>
              <w:t>You have a direct measure in the form of the rubric applied to artifacts from two key courses</w:t>
            </w:r>
            <w:r w:rsidR="004844A9">
              <w:rPr>
                <w:sz w:val="22"/>
              </w:rPr>
              <w:t xml:space="preserve"> and the portfolio,</w:t>
            </w:r>
            <w:r>
              <w:rPr>
                <w:sz w:val="22"/>
              </w:rPr>
              <w:t xml:space="preserve"> and the exit survey provides indirect data, so you have both kinds of data </w:t>
            </w:r>
            <w:r w:rsidR="004844A9">
              <w:rPr>
                <w:sz w:val="22"/>
              </w:rPr>
              <w:t>in the plan</w:t>
            </w:r>
            <w:r>
              <w:rPr>
                <w:sz w:val="22"/>
              </w:rPr>
              <w:t xml:space="preserve">.  </w:t>
            </w:r>
            <w:r w:rsidR="004844A9">
              <w:rPr>
                <w:sz w:val="22"/>
              </w:rPr>
              <w:t xml:space="preserve">Are you going to continue with the survey or do you need to remove that due to </w:t>
            </w:r>
            <w:r w:rsidR="008D7F22">
              <w:rPr>
                <w:sz w:val="22"/>
              </w:rPr>
              <w:t>lack of administrative help?</w:t>
            </w:r>
          </w:p>
        </w:tc>
      </w:tr>
      <w:tr w:rsidR="00B822D5" w:rsidTr="004844A9">
        <w:tc>
          <w:tcPr>
            <w:tcW w:w="1440" w:type="dxa"/>
          </w:tcPr>
          <w:p w:rsidR="00B822D5" w:rsidRDefault="00B822D5" w:rsidP="00B822D5">
            <w:pPr>
              <w:rPr>
                <w:b/>
                <w:bCs/>
                <w:sz w:val="22"/>
              </w:rPr>
            </w:pPr>
          </w:p>
          <w:p w:rsidR="00B822D5" w:rsidRDefault="00B822D5" w:rsidP="00B822D5">
            <w:pPr>
              <w:rPr>
                <w:b/>
                <w:bCs/>
                <w:sz w:val="22"/>
              </w:rPr>
            </w:pPr>
            <w:r>
              <w:rPr>
                <w:b/>
                <w:bCs/>
                <w:sz w:val="22"/>
              </w:rPr>
              <w:t>Expectations</w:t>
            </w:r>
          </w:p>
        </w:tc>
        <w:tc>
          <w:tcPr>
            <w:tcW w:w="2070" w:type="dxa"/>
          </w:tcPr>
          <w:p w:rsidR="00B822D5" w:rsidRDefault="00B822D5" w:rsidP="00B822D5">
            <w:pPr>
              <w:rPr>
                <w:sz w:val="22"/>
              </w:rPr>
            </w:pPr>
            <w:r>
              <w:rPr>
                <w:sz w:val="22"/>
              </w:rPr>
              <w:t xml:space="preserve">Level </w:t>
            </w:r>
            <w:r w:rsidR="009533FA">
              <w:rPr>
                <w:sz w:val="22"/>
              </w:rPr>
              <w:t>2</w:t>
            </w:r>
            <w:r w:rsidR="008B6663">
              <w:rPr>
                <w:sz w:val="22"/>
              </w:rPr>
              <w:t xml:space="preserve">, </w:t>
            </w:r>
            <w:r w:rsidR="004844A9">
              <w:t>Women’s, Gender, and Sexuality Studies</w:t>
            </w:r>
            <w:r w:rsidR="004844A9">
              <w:rPr>
                <w:sz w:val="22"/>
              </w:rPr>
              <w:t xml:space="preserve"> </w:t>
            </w:r>
            <w:r w:rsidR="008B6663">
              <w:rPr>
                <w:sz w:val="22"/>
              </w:rPr>
              <w:t>minor</w:t>
            </w:r>
          </w:p>
        </w:tc>
        <w:tc>
          <w:tcPr>
            <w:tcW w:w="5850" w:type="dxa"/>
          </w:tcPr>
          <w:p w:rsidR="00B822D5" w:rsidRDefault="008D7F22" w:rsidP="00B822D5">
            <w:pPr>
              <w:rPr>
                <w:sz w:val="22"/>
              </w:rPr>
            </w:pPr>
            <w:r>
              <w:rPr>
                <w:sz w:val="22"/>
              </w:rPr>
              <w:t>As you examine data, you may want to set a specific bar for attainment at the conclusion of the minor other than “higher” at the 4000-level than the 2000-level.  In looking at your scores you may want to say that all 4000-level students score at least a 3 out of a 4 on your rubric, for example.</w:t>
            </w:r>
            <w:r w:rsidR="001A4BC9">
              <w:rPr>
                <w:sz w:val="22"/>
              </w:rPr>
              <w:t xml:space="preserve">  </w:t>
            </w:r>
          </w:p>
        </w:tc>
      </w:tr>
      <w:tr w:rsidR="00B822D5" w:rsidTr="004844A9">
        <w:tc>
          <w:tcPr>
            <w:tcW w:w="1440" w:type="dxa"/>
          </w:tcPr>
          <w:p w:rsidR="00B822D5" w:rsidRDefault="00B822D5" w:rsidP="00B822D5">
            <w:pPr>
              <w:rPr>
                <w:b/>
                <w:bCs/>
                <w:sz w:val="22"/>
              </w:rPr>
            </w:pPr>
            <w:r>
              <w:rPr>
                <w:b/>
                <w:bCs/>
                <w:sz w:val="22"/>
              </w:rPr>
              <w:t>Results</w:t>
            </w:r>
          </w:p>
        </w:tc>
        <w:tc>
          <w:tcPr>
            <w:tcW w:w="2070" w:type="dxa"/>
          </w:tcPr>
          <w:p w:rsidR="00B822D5" w:rsidRDefault="00B822D5" w:rsidP="00B822D5">
            <w:pPr>
              <w:rPr>
                <w:sz w:val="22"/>
              </w:rPr>
            </w:pPr>
            <w:r>
              <w:rPr>
                <w:sz w:val="22"/>
              </w:rPr>
              <w:t xml:space="preserve">Level </w:t>
            </w:r>
            <w:r w:rsidR="000715CC">
              <w:rPr>
                <w:sz w:val="22"/>
              </w:rPr>
              <w:t>2</w:t>
            </w:r>
            <w:r w:rsidR="008B6663">
              <w:rPr>
                <w:sz w:val="22"/>
              </w:rPr>
              <w:t xml:space="preserve">, </w:t>
            </w:r>
            <w:r w:rsidR="004844A9">
              <w:t>Women’s, Gender, and Sexuality Studies</w:t>
            </w:r>
            <w:r w:rsidR="004844A9">
              <w:rPr>
                <w:sz w:val="22"/>
              </w:rPr>
              <w:t xml:space="preserve"> </w:t>
            </w:r>
            <w:r w:rsidR="008B6663">
              <w:rPr>
                <w:sz w:val="22"/>
              </w:rPr>
              <w:t>minor</w:t>
            </w:r>
          </w:p>
          <w:p w:rsidR="00B822D5" w:rsidRDefault="00B822D5" w:rsidP="00B822D5">
            <w:pPr>
              <w:rPr>
                <w:sz w:val="22"/>
              </w:rPr>
            </w:pPr>
          </w:p>
        </w:tc>
        <w:tc>
          <w:tcPr>
            <w:tcW w:w="5850" w:type="dxa"/>
          </w:tcPr>
          <w:p w:rsidR="00B822D5" w:rsidRDefault="008D7F22" w:rsidP="008D7F22">
            <w:pPr>
              <w:rPr>
                <w:sz w:val="22"/>
              </w:rPr>
            </w:pPr>
            <w:r>
              <w:rPr>
                <w:sz w:val="22"/>
              </w:rPr>
              <w:t xml:space="preserve">Some results are collected, and you are showing good growth from the sophomore to the senior year, so that’s great!  </w:t>
            </w:r>
            <w:r w:rsidR="006A4E4D">
              <w:rPr>
                <w:sz w:val="22"/>
              </w:rPr>
              <w:t>On your next report, please include the number of students for whom you are reporting averages</w:t>
            </w:r>
            <w:r w:rsidR="003B26D4">
              <w:rPr>
                <w:sz w:val="22"/>
              </w:rPr>
              <w:t xml:space="preserve">.  Do you have data on the portfolios yet? </w:t>
            </w:r>
            <w:r>
              <w:rPr>
                <w:sz w:val="22"/>
              </w:rPr>
              <w:t xml:space="preserve">  If you put your survey into </w:t>
            </w:r>
            <w:proofErr w:type="spellStart"/>
            <w:r>
              <w:rPr>
                <w:sz w:val="22"/>
              </w:rPr>
              <w:t>Qualtrics</w:t>
            </w:r>
            <w:proofErr w:type="spellEnd"/>
            <w:r>
              <w:rPr>
                <w:sz w:val="22"/>
              </w:rPr>
              <w:t>, it’s pretty easy to see and share the data, and all the students need</w:t>
            </w:r>
            <w:r w:rsidR="003B26D4">
              <w:rPr>
                <w:sz w:val="22"/>
              </w:rPr>
              <w:t xml:space="preserve"> </w:t>
            </w:r>
            <w:r>
              <w:rPr>
                <w:sz w:val="22"/>
              </w:rPr>
              <w:t>is an email link to complete it.  That can cut out some of the data entry and administration hassle.  Ryan Gibson is the guru on campus for that, but I’d be happy to help as well.</w:t>
            </w:r>
            <w:bookmarkStart w:id="0" w:name="_GoBack"/>
            <w:bookmarkEnd w:id="0"/>
          </w:p>
        </w:tc>
      </w:tr>
      <w:tr w:rsidR="00B822D5" w:rsidTr="004844A9">
        <w:tc>
          <w:tcPr>
            <w:tcW w:w="1440" w:type="dxa"/>
          </w:tcPr>
          <w:p w:rsidR="00B822D5" w:rsidRDefault="00B822D5" w:rsidP="00B822D5">
            <w:pPr>
              <w:rPr>
                <w:b/>
                <w:bCs/>
                <w:sz w:val="22"/>
              </w:rPr>
            </w:pPr>
            <w:r>
              <w:rPr>
                <w:b/>
                <w:bCs/>
                <w:sz w:val="22"/>
              </w:rPr>
              <w:t>How Results Will be Used</w:t>
            </w:r>
          </w:p>
        </w:tc>
        <w:tc>
          <w:tcPr>
            <w:tcW w:w="2070" w:type="dxa"/>
          </w:tcPr>
          <w:p w:rsidR="00B822D5" w:rsidRDefault="00B822D5" w:rsidP="00B822D5">
            <w:pPr>
              <w:rPr>
                <w:sz w:val="22"/>
              </w:rPr>
            </w:pPr>
            <w:r>
              <w:rPr>
                <w:sz w:val="22"/>
              </w:rPr>
              <w:t>Level 2</w:t>
            </w:r>
            <w:r w:rsidR="00697FDF">
              <w:rPr>
                <w:sz w:val="22"/>
              </w:rPr>
              <w:t>-3</w:t>
            </w:r>
            <w:r w:rsidR="008B6663">
              <w:rPr>
                <w:sz w:val="22"/>
              </w:rPr>
              <w:t xml:space="preserve">, </w:t>
            </w:r>
            <w:r w:rsidR="004844A9">
              <w:t>Women’s, Gender, and Sexuality Studies</w:t>
            </w:r>
            <w:r w:rsidR="004844A9">
              <w:rPr>
                <w:sz w:val="22"/>
              </w:rPr>
              <w:t xml:space="preserve"> </w:t>
            </w:r>
            <w:r w:rsidR="008B6663">
              <w:rPr>
                <w:sz w:val="22"/>
              </w:rPr>
              <w:t>minor</w:t>
            </w:r>
          </w:p>
        </w:tc>
        <w:tc>
          <w:tcPr>
            <w:tcW w:w="5850" w:type="dxa"/>
          </w:tcPr>
          <w:p w:rsidR="00B822D5" w:rsidRDefault="001A4BC9" w:rsidP="008D7F22">
            <w:pPr>
              <w:rPr>
                <w:sz w:val="22"/>
              </w:rPr>
            </w:pPr>
            <w:r>
              <w:rPr>
                <w:sz w:val="22"/>
              </w:rPr>
              <w:t>Feedback loop is in place</w:t>
            </w:r>
            <w:r w:rsidR="008D7F22">
              <w:rPr>
                <w:sz w:val="22"/>
              </w:rPr>
              <w:t xml:space="preserve"> with an assessment committee gathering and sharing data</w:t>
            </w:r>
            <w:r>
              <w:rPr>
                <w:sz w:val="22"/>
              </w:rPr>
              <w:t>.</w:t>
            </w:r>
            <w:r w:rsidR="006A4E4D">
              <w:rPr>
                <w:sz w:val="22"/>
              </w:rPr>
              <w:t xml:space="preserve">  </w:t>
            </w:r>
          </w:p>
        </w:tc>
      </w:tr>
    </w:tbl>
    <w:p w:rsidR="0095042E" w:rsidRDefault="0095042E" w:rsidP="004844A9"/>
    <w:sectPr w:rsidR="0095042E" w:rsidSect="000715CC">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91" w:rsidRDefault="00052091">
      <w:r>
        <w:separator/>
      </w:r>
    </w:p>
  </w:endnote>
  <w:endnote w:type="continuationSeparator" w:id="0">
    <w:p w:rsidR="00052091" w:rsidRDefault="0005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91" w:rsidRDefault="00052091">
      <w:r>
        <w:separator/>
      </w:r>
    </w:p>
  </w:footnote>
  <w:footnote w:type="continuationSeparator" w:id="0">
    <w:p w:rsidR="00052091" w:rsidRDefault="00052091">
      <w:r>
        <w:continuationSeparator/>
      </w:r>
    </w:p>
  </w:footnote>
  <w:footnote w:id="1">
    <w:p w:rsidR="00EA7C14" w:rsidRDefault="00EA7C14" w:rsidP="008B6663">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 xml:space="preserve">. </w:t>
      </w:r>
    </w:p>
    <w:p w:rsidR="00EA7C14" w:rsidRDefault="00EA7C1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08"/>
    <w:rsid w:val="00052091"/>
    <w:rsid w:val="000715CC"/>
    <w:rsid w:val="000F7CA5"/>
    <w:rsid w:val="00136A05"/>
    <w:rsid w:val="00144E73"/>
    <w:rsid w:val="00161D02"/>
    <w:rsid w:val="001A4BC9"/>
    <w:rsid w:val="002E6A4B"/>
    <w:rsid w:val="003434E4"/>
    <w:rsid w:val="003B26D4"/>
    <w:rsid w:val="003B3C56"/>
    <w:rsid w:val="003F0E1C"/>
    <w:rsid w:val="00407DE3"/>
    <w:rsid w:val="0042385B"/>
    <w:rsid w:val="004844A9"/>
    <w:rsid w:val="004930E5"/>
    <w:rsid w:val="004F3F31"/>
    <w:rsid w:val="005629D5"/>
    <w:rsid w:val="00565AB2"/>
    <w:rsid w:val="005A541C"/>
    <w:rsid w:val="00676480"/>
    <w:rsid w:val="00697FDF"/>
    <w:rsid w:val="006A4E4D"/>
    <w:rsid w:val="006A5ABA"/>
    <w:rsid w:val="0075355F"/>
    <w:rsid w:val="007922E6"/>
    <w:rsid w:val="007A6BC2"/>
    <w:rsid w:val="007B351C"/>
    <w:rsid w:val="0080467D"/>
    <w:rsid w:val="00844087"/>
    <w:rsid w:val="0087326D"/>
    <w:rsid w:val="00895A08"/>
    <w:rsid w:val="008B564A"/>
    <w:rsid w:val="008B6663"/>
    <w:rsid w:val="008D7F22"/>
    <w:rsid w:val="0090160A"/>
    <w:rsid w:val="0095042E"/>
    <w:rsid w:val="009533FA"/>
    <w:rsid w:val="00967B46"/>
    <w:rsid w:val="00A4564C"/>
    <w:rsid w:val="00A93C1D"/>
    <w:rsid w:val="00B12A26"/>
    <w:rsid w:val="00B822D5"/>
    <w:rsid w:val="00B85D02"/>
    <w:rsid w:val="00BA5C7E"/>
    <w:rsid w:val="00BB6D99"/>
    <w:rsid w:val="00C324F2"/>
    <w:rsid w:val="00D02BCD"/>
    <w:rsid w:val="00D24EC6"/>
    <w:rsid w:val="00D50A8A"/>
    <w:rsid w:val="00D7244D"/>
    <w:rsid w:val="00D73473"/>
    <w:rsid w:val="00D84C16"/>
    <w:rsid w:val="00D94574"/>
    <w:rsid w:val="00DA6BB1"/>
    <w:rsid w:val="00E507D1"/>
    <w:rsid w:val="00E67740"/>
    <w:rsid w:val="00EA7C14"/>
    <w:rsid w:val="00F25CCB"/>
    <w:rsid w:val="00F33FB6"/>
    <w:rsid w:val="00F956E0"/>
    <w:rsid w:val="00FB41AA"/>
    <w:rsid w:val="00FB5611"/>
    <w:rsid w:val="00FB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2D5"/>
    <w:rPr>
      <w:sz w:val="24"/>
      <w:szCs w:val="24"/>
    </w:rPr>
  </w:style>
  <w:style w:type="paragraph" w:styleId="Heading1">
    <w:name w:val="heading 1"/>
    <w:basedOn w:val="Normal"/>
    <w:next w:val="Normal"/>
    <w:qFormat/>
    <w:rsid w:val="00B822D5"/>
    <w:pPr>
      <w:keepNext/>
      <w:outlineLvl w:val="0"/>
    </w:pPr>
    <w:rPr>
      <w:b/>
      <w:bCs/>
    </w:rPr>
  </w:style>
  <w:style w:type="paragraph" w:styleId="Heading2">
    <w:name w:val="heading 2"/>
    <w:basedOn w:val="Normal"/>
    <w:next w:val="Normal"/>
    <w:qFormat/>
    <w:rsid w:val="00B822D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822D5"/>
    <w:rPr>
      <w:sz w:val="20"/>
      <w:szCs w:val="20"/>
    </w:rPr>
  </w:style>
  <w:style w:type="character" w:styleId="FootnoteReference">
    <w:name w:val="footnote reference"/>
    <w:basedOn w:val="DefaultParagraphFont"/>
    <w:semiHidden/>
    <w:rsid w:val="00B822D5"/>
    <w:rPr>
      <w:vertAlign w:val="superscript"/>
    </w:rPr>
  </w:style>
  <w:style w:type="character" w:styleId="Hyperlink">
    <w:name w:val="Hyperlink"/>
    <w:basedOn w:val="DefaultParagraphFont"/>
    <w:rsid w:val="008B66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2D5"/>
    <w:rPr>
      <w:sz w:val="24"/>
      <w:szCs w:val="24"/>
    </w:rPr>
  </w:style>
  <w:style w:type="paragraph" w:styleId="Heading1">
    <w:name w:val="heading 1"/>
    <w:basedOn w:val="Normal"/>
    <w:next w:val="Normal"/>
    <w:qFormat/>
    <w:rsid w:val="00B822D5"/>
    <w:pPr>
      <w:keepNext/>
      <w:outlineLvl w:val="0"/>
    </w:pPr>
    <w:rPr>
      <w:b/>
      <w:bCs/>
    </w:rPr>
  </w:style>
  <w:style w:type="paragraph" w:styleId="Heading2">
    <w:name w:val="heading 2"/>
    <w:basedOn w:val="Normal"/>
    <w:next w:val="Normal"/>
    <w:qFormat/>
    <w:rsid w:val="00B822D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822D5"/>
    <w:rPr>
      <w:sz w:val="20"/>
      <w:szCs w:val="20"/>
    </w:rPr>
  </w:style>
  <w:style w:type="character" w:styleId="FootnoteReference">
    <w:name w:val="footnote reference"/>
    <w:basedOn w:val="DefaultParagraphFont"/>
    <w:semiHidden/>
    <w:rsid w:val="00B822D5"/>
    <w:rPr>
      <w:vertAlign w:val="superscript"/>
    </w:rPr>
  </w:style>
  <w:style w:type="character" w:styleId="Hyperlink">
    <w:name w:val="Hyperlink"/>
    <w:basedOn w:val="DefaultParagraphFont"/>
    <w:rsid w:val="008B6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CF8A-44E5-4F0A-8F34-687B22F7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381</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2300</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Karla Sanders</dc:creator>
  <cp:lastModifiedBy>Sanders, Karla</cp:lastModifiedBy>
  <cp:revision>3</cp:revision>
  <dcterms:created xsi:type="dcterms:W3CDTF">2018-07-12T20:25:00Z</dcterms:created>
  <dcterms:modified xsi:type="dcterms:W3CDTF">2018-07-12T20:41:00Z</dcterms:modified>
</cp:coreProperties>
</file>