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175E" w14:textId="77777777"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14:paraId="7E905F11" w14:textId="16231A2B" w:rsidR="0031771D" w:rsidRDefault="00055CC6">
      <w:pPr>
        <w:rPr>
          <w:b/>
          <w:bCs/>
          <w:color w:val="FF0000"/>
        </w:rPr>
      </w:pPr>
      <w:r>
        <w:rPr>
          <w:noProof/>
        </w:rPr>
        <mc:AlternateContent>
          <mc:Choice Requires="wps">
            <w:drawing>
              <wp:anchor distT="0" distB="0" distL="114300" distR="114300" simplePos="0" relativeHeight="251657728" behindDoc="0" locked="0" layoutInCell="1" allowOverlap="1" wp14:anchorId="17F20697" wp14:editId="3AF380C2">
                <wp:simplePos x="0" y="0"/>
                <wp:positionH relativeFrom="column">
                  <wp:posOffset>4343400</wp:posOffset>
                </wp:positionH>
                <wp:positionV relativeFrom="paragraph">
                  <wp:posOffset>140335</wp:posOffset>
                </wp:positionV>
                <wp:extent cx="3514725" cy="1514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14475"/>
                        </a:xfrm>
                        <a:prstGeom prst="rect">
                          <a:avLst/>
                        </a:prstGeom>
                        <a:solidFill>
                          <a:srgbClr val="FFFFFF"/>
                        </a:solidFill>
                        <a:ln w="9525">
                          <a:solidFill>
                            <a:srgbClr val="000000"/>
                          </a:solidFill>
                          <a:miter lim="800000"/>
                          <a:headEnd/>
                          <a:tailEnd/>
                        </a:ln>
                      </wps:spPr>
                      <wps:txbx>
                        <w:txbxContent>
                          <w:p w14:paraId="50F60690" w14:textId="7CF36CD7" w:rsidR="00867F8C" w:rsidRDefault="00867F8C">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20697" id="_x0000_t202" coordsize="21600,21600" o:spt="202" path="m,l,21600r21600,l21600,xe">
                <v:stroke joinstyle="miter"/>
                <v:path gradientshapeok="t" o:connecttype="rect"/>
              </v:shapetype>
              <v:shape id="Text Box 2" o:spid="_x0000_s1026" type="#_x0000_t202" style="position:absolute;margin-left:342pt;margin-top:11.05pt;width:276.75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">
                <v:textbox>
                  <w:txbxContent>
                    <w:p w14:paraId="50F60690" w14:textId="7CF36CD7" w:rsidR="00867F8C" w:rsidRDefault="00867F8C">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E50514">
        <w:rPr>
          <w:b/>
          <w:bCs/>
          <w:i/>
          <w:iCs/>
          <w:color w:val="FF0000"/>
          <w:sz w:val="28"/>
          <w:szCs w:val="28"/>
        </w:rPr>
        <w:t>2016</w:t>
      </w:r>
      <w:r w:rsidR="0033451D">
        <w:rPr>
          <w:b/>
          <w:bCs/>
          <w:i/>
          <w:iCs/>
          <w:color w:val="FF0000"/>
          <w:sz w:val="28"/>
          <w:szCs w:val="28"/>
        </w:rPr>
        <w:t>-201</w:t>
      </w:r>
      <w:r w:rsidR="00E50514">
        <w:rPr>
          <w:b/>
          <w:bCs/>
          <w:i/>
          <w:iCs/>
          <w:color w:val="FF0000"/>
          <w:sz w:val="28"/>
          <w:szCs w:val="28"/>
        </w:rPr>
        <w:t>7</w:t>
      </w:r>
    </w:p>
    <w:p w14:paraId="039BFB00" w14:textId="77777777" w:rsidR="0031771D" w:rsidRDefault="00055CC6">
      <w:r>
        <w:rPr>
          <w:noProof/>
        </w:rPr>
        <mc:AlternateContent>
          <mc:Choice Requires="wps">
            <w:drawing>
              <wp:anchor distT="0" distB="0" distL="114300" distR="114300" simplePos="0" relativeHeight="251656704" behindDoc="0" locked="0" layoutInCell="1" allowOverlap="1" wp14:anchorId="2A9F6B45" wp14:editId="40E2F2E9">
                <wp:simplePos x="0" y="0"/>
                <wp:positionH relativeFrom="column">
                  <wp:posOffset>1028699</wp:posOffset>
                </wp:positionH>
                <wp:positionV relativeFrom="paragraph">
                  <wp:posOffset>164465</wp:posOffset>
                </wp:positionV>
                <wp:extent cx="1876425" cy="2762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w="9525">
                          <a:solidFill>
                            <a:srgbClr val="000000"/>
                          </a:solidFill>
                          <a:miter lim="800000"/>
                          <a:headEnd/>
                          <a:tailEnd/>
                        </a:ln>
                      </wps:spPr>
                      <wps:txbx>
                        <w:txbxContent>
                          <w:p w14:paraId="41B20822" w14:textId="77777777" w:rsidR="00867F8C" w:rsidRDefault="00867F8C">
                            <w:r>
                              <w:t>Sociology &amp; Anthropology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6B45" id="Text Box 3" o:spid="_x0000_s1027" type="#_x0000_t202" style="position:absolute;margin-left:81pt;margin-top:12.95pt;width:147.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GSKQ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">
                <v:textbox>
                  <w:txbxContent>
                    <w:p w14:paraId="41B20822" w14:textId="77777777" w:rsidR="00867F8C" w:rsidRDefault="00867F8C">
                      <w:r>
                        <w:t>Sociology &amp; Anthropology</w:t>
                      </w:r>
                    </w:p>
                  </w:txbxContent>
                </v:textbox>
              </v:shape>
            </w:pict>
          </mc:Fallback>
        </mc:AlternateContent>
      </w:r>
    </w:p>
    <w:p w14:paraId="11F8F12A" w14:textId="77777777" w:rsidR="0031771D" w:rsidRDefault="0031771D">
      <w:pPr>
        <w:rPr>
          <w:b/>
          <w:bCs/>
          <w:sz w:val="20"/>
          <w:szCs w:val="20"/>
        </w:rPr>
      </w:pPr>
      <w:r>
        <w:rPr>
          <w:b/>
          <w:bCs/>
          <w:sz w:val="20"/>
          <w:szCs w:val="20"/>
        </w:rPr>
        <w:t>Degree and</w:t>
      </w:r>
    </w:p>
    <w:p w14:paraId="16489AA6" w14:textId="77777777" w:rsidR="0031771D" w:rsidRDefault="0031771D">
      <w:pPr>
        <w:rPr>
          <w:b/>
          <w:bCs/>
        </w:rPr>
      </w:pPr>
      <w:r>
        <w:rPr>
          <w:b/>
          <w:bCs/>
          <w:sz w:val="20"/>
          <w:szCs w:val="20"/>
        </w:rPr>
        <w:t>Program Name:</w:t>
      </w:r>
    </w:p>
    <w:p w14:paraId="7A61833B" w14:textId="77777777" w:rsidR="0031771D" w:rsidRDefault="00EF7E68">
      <w:pPr>
        <w:rPr>
          <w:b/>
          <w:bCs/>
          <w:sz w:val="20"/>
          <w:szCs w:val="20"/>
        </w:rPr>
      </w:pPr>
      <w:r>
        <w:rPr>
          <w:noProof/>
        </w:rPr>
        <mc:AlternateContent>
          <mc:Choice Requires="wps">
            <w:drawing>
              <wp:anchor distT="0" distB="0" distL="114300" distR="114300" simplePos="0" relativeHeight="251658752" behindDoc="0" locked="0" layoutInCell="1" allowOverlap="1" wp14:anchorId="6C9CC201" wp14:editId="6816C944">
                <wp:simplePos x="0" y="0"/>
                <wp:positionH relativeFrom="column">
                  <wp:posOffset>952500</wp:posOffset>
                </wp:positionH>
                <wp:positionV relativeFrom="paragraph">
                  <wp:posOffset>106680</wp:posOffset>
                </wp:positionV>
                <wp:extent cx="1581150" cy="5619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txbx>
                        <w:txbxContent>
                          <w:p w14:paraId="52DD178F" w14:textId="589DE9A7" w:rsidR="00867F8C" w:rsidRPr="00EF7E68" w:rsidRDefault="00867F8C" w:rsidP="00E50514">
                            <w:pPr>
                              <w:rPr>
                                <w:sz w:val="20"/>
                                <w:szCs w:val="20"/>
                              </w:rPr>
                            </w:pPr>
                            <w:r w:rsidRPr="00EF7E68">
                              <w:rPr>
                                <w:sz w:val="20"/>
                                <w:szCs w:val="20"/>
                              </w:rPr>
                              <w:t>V</w:t>
                            </w:r>
                            <w:r>
                              <w:rPr>
                                <w:sz w:val="20"/>
                                <w:szCs w:val="20"/>
                              </w:rPr>
                              <w:t xml:space="preserve">ernon </w:t>
                            </w:r>
                            <w:r w:rsidRPr="00EF7E68">
                              <w:rPr>
                                <w:sz w:val="20"/>
                                <w:szCs w:val="20"/>
                              </w:rPr>
                              <w:t>Woodley</w:t>
                            </w:r>
                            <w:r>
                              <w:rPr>
                                <w:sz w:val="20"/>
                                <w:szCs w:val="20"/>
                              </w:rPr>
                              <w:t xml:space="preserve"> (chair)</w:t>
                            </w:r>
                          </w:p>
                          <w:p w14:paraId="14EAF5DC" w14:textId="412EA47B" w:rsidR="00867F8C" w:rsidRPr="00EF7E68" w:rsidRDefault="00867F8C">
                            <w:pPr>
                              <w:rPr>
                                <w:sz w:val="20"/>
                                <w:szCs w:val="20"/>
                              </w:rPr>
                            </w:pPr>
                            <w:r w:rsidRPr="00EF7E68">
                              <w:rPr>
                                <w:sz w:val="20"/>
                                <w:szCs w:val="20"/>
                              </w:rPr>
                              <w:t>Donald H. Holly Jr.</w:t>
                            </w:r>
                            <w:r>
                              <w:rPr>
                                <w:sz w:val="20"/>
                                <w:szCs w:val="20"/>
                              </w:rPr>
                              <w:t xml:space="preserve"> </w:t>
                            </w:r>
                          </w:p>
                          <w:p w14:paraId="14E6A8A7" w14:textId="14BC8855" w:rsidR="00867F8C" w:rsidRPr="00EF7E68" w:rsidRDefault="00867F8C">
                            <w:pPr>
                              <w:rPr>
                                <w:sz w:val="20"/>
                                <w:szCs w:val="20"/>
                              </w:rPr>
                            </w:pPr>
                            <w:r>
                              <w:rPr>
                                <w:sz w:val="20"/>
                                <w:szCs w:val="20"/>
                              </w:rPr>
                              <w:t>Jennifer Stevens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C201" id="Text Box 4" o:spid="_x0000_s1028" type="#_x0000_t202" style="position:absolute;margin-left:75pt;margin-top:8.4pt;width:124.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">
                <v:textbox>
                  <w:txbxContent>
                    <w:p w14:paraId="52DD178F" w14:textId="589DE9A7" w:rsidR="00867F8C" w:rsidRPr="00EF7E68" w:rsidRDefault="00867F8C" w:rsidP="00E50514">
                      <w:pPr>
                        <w:rPr>
                          <w:sz w:val="20"/>
                          <w:szCs w:val="20"/>
                        </w:rPr>
                      </w:pPr>
                      <w:r w:rsidRPr="00EF7E68">
                        <w:rPr>
                          <w:sz w:val="20"/>
                          <w:szCs w:val="20"/>
                        </w:rPr>
                        <w:t>V</w:t>
                      </w:r>
                      <w:r>
                        <w:rPr>
                          <w:sz w:val="20"/>
                          <w:szCs w:val="20"/>
                        </w:rPr>
                        <w:t xml:space="preserve">ernon </w:t>
                      </w:r>
                      <w:r w:rsidRPr="00EF7E68">
                        <w:rPr>
                          <w:sz w:val="20"/>
                          <w:szCs w:val="20"/>
                        </w:rPr>
                        <w:t>Woodley</w:t>
                      </w:r>
                      <w:r>
                        <w:rPr>
                          <w:sz w:val="20"/>
                          <w:szCs w:val="20"/>
                        </w:rPr>
                        <w:t xml:space="preserve"> (chair)</w:t>
                      </w:r>
                    </w:p>
                    <w:p w14:paraId="14EAF5DC" w14:textId="412EA47B" w:rsidR="00867F8C" w:rsidRPr="00EF7E68" w:rsidRDefault="00867F8C">
                      <w:pPr>
                        <w:rPr>
                          <w:sz w:val="20"/>
                          <w:szCs w:val="20"/>
                        </w:rPr>
                      </w:pPr>
                      <w:r w:rsidRPr="00EF7E68">
                        <w:rPr>
                          <w:sz w:val="20"/>
                          <w:szCs w:val="20"/>
                        </w:rPr>
                        <w:t>Donald H. Holly Jr.</w:t>
                      </w:r>
                      <w:r>
                        <w:rPr>
                          <w:sz w:val="20"/>
                          <w:szCs w:val="20"/>
                        </w:rPr>
                        <w:t xml:space="preserve"> </w:t>
                      </w:r>
                    </w:p>
                    <w:p w14:paraId="14E6A8A7" w14:textId="14BC8855" w:rsidR="00867F8C" w:rsidRPr="00EF7E68" w:rsidRDefault="00867F8C">
                      <w:pPr>
                        <w:rPr>
                          <w:sz w:val="20"/>
                          <w:szCs w:val="20"/>
                        </w:rPr>
                      </w:pPr>
                      <w:r>
                        <w:rPr>
                          <w:sz w:val="20"/>
                          <w:szCs w:val="20"/>
                        </w:rPr>
                        <w:t>Jennifer Stevens</w:t>
                      </w:r>
                    </w:p>
                  </w:txbxContent>
                </v:textbox>
              </v:shape>
            </w:pict>
          </mc:Fallback>
        </mc:AlternateContent>
      </w:r>
    </w:p>
    <w:p w14:paraId="09F45FBB" w14:textId="77777777" w:rsidR="00CE7CC9" w:rsidRDefault="00CE7CC9">
      <w:pPr>
        <w:pStyle w:val="Heading1"/>
      </w:pPr>
    </w:p>
    <w:p w14:paraId="7F092E9E" w14:textId="77777777" w:rsidR="0031771D" w:rsidRPr="009179DC" w:rsidRDefault="0031771D">
      <w:pPr>
        <w:pStyle w:val="Heading1"/>
      </w:pPr>
      <w:r>
        <w:t>Submitted By:</w:t>
      </w:r>
      <w:r>
        <w:tab/>
      </w:r>
    </w:p>
    <w:p w14:paraId="1E4E719D" w14:textId="77777777" w:rsidR="0031771D" w:rsidRDefault="0031771D">
      <w:pPr>
        <w:rPr>
          <w:b/>
          <w:bCs/>
          <w:sz w:val="20"/>
          <w:szCs w:val="20"/>
        </w:rPr>
      </w:pPr>
    </w:p>
    <w:p w14:paraId="42696495" w14:textId="77777777" w:rsidR="009179DC" w:rsidRDefault="009179DC">
      <w:pPr>
        <w:rPr>
          <w:b/>
          <w:bCs/>
        </w:rPr>
      </w:pPr>
    </w:p>
    <w:p w14:paraId="60448C15" w14:textId="77777777" w:rsidR="006C5C10" w:rsidRDefault="004348BB">
      <w:pPr>
        <w:rPr>
          <w:b/>
          <w:bCs/>
        </w:rPr>
      </w:pPr>
      <w:r>
        <w:rPr>
          <w:b/>
          <w:bCs/>
        </w:rPr>
        <w:t>Please use size 10 font or larger.</w:t>
      </w:r>
    </w:p>
    <w:p w14:paraId="40BEE74F" w14:textId="77777777" w:rsidR="004348BB" w:rsidRDefault="004348BB">
      <w:pPr>
        <w:rPr>
          <w:b/>
          <w:bCs/>
        </w:rPr>
      </w:pPr>
    </w:p>
    <w:p w14:paraId="76BC87D4" w14:textId="77777777" w:rsidR="00CC127E" w:rsidRDefault="00CC127E">
      <w:pPr>
        <w:rPr>
          <w:b/>
          <w:bCs/>
        </w:rPr>
      </w:pPr>
      <w:r>
        <w:rPr>
          <w:b/>
          <w:bCs/>
        </w:rPr>
        <w:t>PART ONE</w:t>
      </w:r>
    </w:p>
    <w:p w14:paraId="39B3D0D1" w14:textId="77777777"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790"/>
        <w:gridCol w:w="2430"/>
        <w:gridCol w:w="2070"/>
        <w:gridCol w:w="2880"/>
      </w:tblGrid>
      <w:tr w:rsidR="00E017F7" w14:paraId="55B421DB" w14:textId="77777777" w:rsidTr="001E61F4">
        <w:tc>
          <w:tcPr>
            <w:tcW w:w="2335" w:type="dxa"/>
            <w:shd w:val="clear" w:color="auto" w:fill="F2F2F2" w:themeFill="background1" w:themeFillShade="F2"/>
          </w:tcPr>
          <w:p w14:paraId="425EC50E" w14:textId="77777777" w:rsidR="00797186" w:rsidRDefault="00797186" w:rsidP="00FC2E7C">
            <w:pPr>
              <w:tabs>
                <w:tab w:val="left" w:pos="1740"/>
              </w:tabs>
              <w:rPr>
                <w:sz w:val="20"/>
                <w:szCs w:val="20"/>
              </w:rPr>
            </w:pPr>
            <w:r>
              <w:rPr>
                <w:sz w:val="20"/>
                <w:szCs w:val="20"/>
              </w:rPr>
              <w:t>What are the learning objectives?</w:t>
            </w:r>
          </w:p>
        </w:tc>
        <w:tc>
          <w:tcPr>
            <w:tcW w:w="2790" w:type="dxa"/>
            <w:shd w:val="clear" w:color="auto" w:fill="F2F2F2" w:themeFill="background1" w:themeFillShade="F2"/>
          </w:tcPr>
          <w:p w14:paraId="48BA8FD7" w14:textId="77777777" w:rsidR="00797186" w:rsidRDefault="00797186" w:rsidP="00FC2E7C">
            <w:pPr>
              <w:tabs>
                <w:tab w:val="left" w:pos="1740"/>
              </w:tabs>
              <w:rPr>
                <w:sz w:val="20"/>
                <w:szCs w:val="20"/>
              </w:rPr>
            </w:pPr>
            <w:r>
              <w:rPr>
                <w:sz w:val="20"/>
                <w:szCs w:val="20"/>
              </w:rPr>
              <w:t xml:space="preserve">How, where, and when are they assessed? </w:t>
            </w:r>
          </w:p>
        </w:tc>
        <w:tc>
          <w:tcPr>
            <w:tcW w:w="2430" w:type="dxa"/>
            <w:shd w:val="clear" w:color="auto" w:fill="F2F2F2" w:themeFill="background1" w:themeFillShade="F2"/>
          </w:tcPr>
          <w:p w14:paraId="382CF835" w14:textId="77777777" w:rsidR="00797186" w:rsidRDefault="00797186" w:rsidP="00FC2E7C">
            <w:pPr>
              <w:tabs>
                <w:tab w:val="left" w:pos="1740"/>
              </w:tabs>
              <w:rPr>
                <w:sz w:val="20"/>
                <w:szCs w:val="20"/>
              </w:rPr>
            </w:pPr>
            <w:r>
              <w:rPr>
                <w:sz w:val="20"/>
                <w:szCs w:val="20"/>
              </w:rPr>
              <w:t>What are the expectations?</w:t>
            </w:r>
          </w:p>
        </w:tc>
        <w:tc>
          <w:tcPr>
            <w:tcW w:w="2070" w:type="dxa"/>
            <w:shd w:val="clear" w:color="auto" w:fill="F2F2F2" w:themeFill="background1" w:themeFillShade="F2"/>
          </w:tcPr>
          <w:p w14:paraId="303ADF93" w14:textId="77777777" w:rsidR="00797186" w:rsidRDefault="00797186" w:rsidP="00FC2E7C">
            <w:pPr>
              <w:tabs>
                <w:tab w:val="left" w:pos="1740"/>
              </w:tabs>
              <w:rPr>
                <w:sz w:val="20"/>
                <w:szCs w:val="20"/>
              </w:rPr>
            </w:pPr>
            <w:r>
              <w:rPr>
                <w:sz w:val="20"/>
                <w:szCs w:val="20"/>
              </w:rPr>
              <w:t>What are the results?</w:t>
            </w:r>
          </w:p>
        </w:tc>
        <w:tc>
          <w:tcPr>
            <w:tcW w:w="2880" w:type="dxa"/>
            <w:shd w:val="clear" w:color="auto" w:fill="F2F2F2" w:themeFill="background1" w:themeFillShade="F2"/>
          </w:tcPr>
          <w:p w14:paraId="5D9FC778" w14:textId="77777777"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E017F7" w14:paraId="0862ED0E" w14:textId="77777777" w:rsidTr="001E61F4">
        <w:tc>
          <w:tcPr>
            <w:tcW w:w="2335" w:type="dxa"/>
          </w:tcPr>
          <w:p w14:paraId="7A83B189" w14:textId="77777777" w:rsidR="00797186" w:rsidRDefault="00797186" w:rsidP="00FC2E7C">
            <w:pPr>
              <w:tabs>
                <w:tab w:val="left" w:pos="1740"/>
              </w:tabs>
              <w:rPr>
                <w:sz w:val="20"/>
                <w:szCs w:val="20"/>
              </w:rPr>
            </w:pPr>
            <w:r>
              <w:rPr>
                <w:sz w:val="20"/>
                <w:szCs w:val="20"/>
              </w:rPr>
              <w:t>1.</w:t>
            </w:r>
            <w:r w:rsidR="005F0F37">
              <w:rPr>
                <w:sz w:val="20"/>
                <w:szCs w:val="20"/>
              </w:rPr>
              <w:t>demonstate an understanding of key concepts</w:t>
            </w:r>
            <w:r w:rsidR="009C37E3">
              <w:rPr>
                <w:sz w:val="20"/>
                <w:szCs w:val="20"/>
              </w:rPr>
              <w:t xml:space="preserve"> and definitions</w:t>
            </w:r>
          </w:p>
        </w:tc>
        <w:tc>
          <w:tcPr>
            <w:tcW w:w="2790" w:type="dxa"/>
          </w:tcPr>
          <w:p w14:paraId="293ED2F3" w14:textId="77777777" w:rsidR="00797186" w:rsidRDefault="005F0F37" w:rsidP="00EF7E68">
            <w:pPr>
              <w:tabs>
                <w:tab w:val="left" w:pos="1740"/>
              </w:tabs>
              <w:jc w:val="center"/>
              <w:rPr>
                <w:sz w:val="20"/>
                <w:szCs w:val="20"/>
              </w:rPr>
            </w:pPr>
            <w:r>
              <w:rPr>
                <w:sz w:val="20"/>
                <w:szCs w:val="20"/>
              </w:rPr>
              <w:t>Students are assessed in SOC 2000 and SOC 4900</w:t>
            </w:r>
          </w:p>
        </w:tc>
        <w:tc>
          <w:tcPr>
            <w:tcW w:w="2430" w:type="dxa"/>
          </w:tcPr>
          <w:p w14:paraId="6A2F899E" w14:textId="77777777" w:rsidR="00797186" w:rsidRDefault="00E908C0" w:rsidP="00EF7E68">
            <w:pPr>
              <w:tabs>
                <w:tab w:val="left" w:pos="1740"/>
              </w:tabs>
              <w:jc w:val="center"/>
              <w:rPr>
                <w:sz w:val="20"/>
                <w:szCs w:val="20"/>
              </w:rPr>
            </w:pPr>
            <w:r>
              <w:rPr>
                <w:sz w:val="20"/>
                <w:szCs w:val="20"/>
              </w:rPr>
              <w:t>70% or better score</w:t>
            </w:r>
          </w:p>
        </w:tc>
        <w:tc>
          <w:tcPr>
            <w:tcW w:w="2070" w:type="dxa"/>
            <w:shd w:val="clear" w:color="auto" w:fill="auto"/>
          </w:tcPr>
          <w:p w14:paraId="3CBF6E55" w14:textId="52A39566" w:rsidR="00797186" w:rsidRDefault="00867F8C" w:rsidP="00EF7E68">
            <w:pPr>
              <w:tabs>
                <w:tab w:val="left" w:pos="1740"/>
              </w:tabs>
              <w:jc w:val="center"/>
              <w:rPr>
                <w:sz w:val="20"/>
                <w:szCs w:val="20"/>
              </w:rPr>
            </w:pPr>
            <w:r>
              <w:rPr>
                <w:sz w:val="20"/>
                <w:szCs w:val="20"/>
              </w:rPr>
              <w:t>SOC 2000 (55</w:t>
            </w:r>
            <w:r w:rsidR="009C37E3">
              <w:rPr>
                <w:sz w:val="20"/>
                <w:szCs w:val="20"/>
              </w:rPr>
              <w:t>%)</w:t>
            </w:r>
          </w:p>
          <w:p w14:paraId="16F876FE" w14:textId="11EC6E4F" w:rsidR="009C37E3" w:rsidRDefault="00867F8C" w:rsidP="00EF7E68">
            <w:pPr>
              <w:tabs>
                <w:tab w:val="left" w:pos="1740"/>
              </w:tabs>
              <w:jc w:val="center"/>
              <w:rPr>
                <w:sz w:val="20"/>
                <w:szCs w:val="20"/>
              </w:rPr>
            </w:pPr>
            <w:r>
              <w:rPr>
                <w:sz w:val="20"/>
                <w:szCs w:val="20"/>
              </w:rPr>
              <w:t>SOC 4900 (69</w:t>
            </w:r>
            <w:r w:rsidR="009C37E3">
              <w:rPr>
                <w:sz w:val="20"/>
                <w:szCs w:val="20"/>
              </w:rPr>
              <w:t>%)</w:t>
            </w:r>
          </w:p>
        </w:tc>
        <w:tc>
          <w:tcPr>
            <w:tcW w:w="2880" w:type="dxa"/>
          </w:tcPr>
          <w:p w14:paraId="54F9A605" w14:textId="77777777" w:rsidR="00797186" w:rsidRDefault="00E908C0" w:rsidP="00EF7E68">
            <w:pPr>
              <w:tabs>
                <w:tab w:val="left" w:pos="1740"/>
              </w:tabs>
              <w:jc w:val="center"/>
              <w:rPr>
                <w:sz w:val="20"/>
                <w:szCs w:val="20"/>
              </w:rPr>
            </w:pPr>
            <w:r>
              <w:rPr>
                <w:sz w:val="20"/>
                <w:szCs w:val="20"/>
              </w:rPr>
              <w:t>Administered by all instructors of SOC 2000 and SOC 4900</w:t>
            </w:r>
          </w:p>
        </w:tc>
      </w:tr>
      <w:tr w:rsidR="00E017F7" w14:paraId="4C31D535" w14:textId="77777777" w:rsidTr="001E61F4">
        <w:tc>
          <w:tcPr>
            <w:tcW w:w="2335" w:type="dxa"/>
          </w:tcPr>
          <w:p w14:paraId="562CE064" w14:textId="77777777" w:rsidR="00797186" w:rsidRDefault="00797186" w:rsidP="00E017F7">
            <w:pPr>
              <w:tabs>
                <w:tab w:val="left" w:pos="1740"/>
              </w:tabs>
              <w:rPr>
                <w:sz w:val="20"/>
                <w:szCs w:val="20"/>
              </w:rPr>
            </w:pPr>
            <w:r>
              <w:rPr>
                <w:sz w:val="20"/>
                <w:szCs w:val="20"/>
              </w:rPr>
              <w:t>2.</w:t>
            </w:r>
            <w:r w:rsidR="00E017F7">
              <w:rPr>
                <w:sz w:val="20"/>
                <w:szCs w:val="20"/>
              </w:rPr>
              <w:t xml:space="preserve">demonstate an understanding of theoretical concepts and perspectives </w:t>
            </w:r>
          </w:p>
        </w:tc>
        <w:tc>
          <w:tcPr>
            <w:tcW w:w="2790" w:type="dxa"/>
          </w:tcPr>
          <w:p w14:paraId="12A93FE9" w14:textId="77777777" w:rsidR="00797186" w:rsidRDefault="00797186" w:rsidP="00EF7E68">
            <w:pPr>
              <w:tabs>
                <w:tab w:val="left" w:pos="1740"/>
              </w:tabs>
              <w:jc w:val="center"/>
              <w:rPr>
                <w:sz w:val="20"/>
                <w:szCs w:val="20"/>
              </w:rPr>
            </w:pPr>
          </w:p>
          <w:p w14:paraId="0205907C" w14:textId="77777777" w:rsidR="009C37E3" w:rsidRPr="009C37E3" w:rsidRDefault="009C37E3" w:rsidP="00EF7E68">
            <w:pPr>
              <w:tabs>
                <w:tab w:val="left" w:pos="1740"/>
              </w:tabs>
              <w:jc w:val="center"/>
              <w:rPr>
                <w:i/>
                <w:sz w:val="20"/>
                <w:szCs w:val="20"/>
              </w:rPr>
            </w:pPr>
            <w:r>
              <w:rPr>
                <w:i/>
                <w:sz w:val="20"/>
                <w:szCs w:val="20"/>
              </w:rPr>
              <w:t>same as above</w:t>
            </w:r>
          </w:p>
        </w:tc>
        <w:tc>
          <w:tcPr>
            <w:tcW w:w="2430" w:type="dxa"/>
          </w:tcPr>
          <w:p w14:paraId="2A84996C" w14:textId="77777777" w:rsidR="00797186" w:rsidRDefault="00797186" w:rsidP="00EF7E68">
            <w:pPr>
              <w:tabs>
                <w:tab w:val="left" w:pos="1740"/>
              </w:tabs>
              <w:jc w:val="center"/>
              <w:rPr>
                <w:sz w:val="20"/>
                <w:szCs w:val="20"/>
              </w:rPr>
            </w:pPr>
          </w:p>
          <w:p w14:paraId="3BFE9CCD" w14:textId="77777777" w:rsidR="009C37E3" w:rsidRDefault="009C37E3" w:rsidP="00EF7E68">
            <w:pPr>
              <w:tabs>
                <w:tab w:val="left" w:pos="1740"/>
              </w:tabs>
              <w:jc w:val="center"/>
              <w:rPr>
                <w:sz w:val="20"/>
                <w:szCs w:val="20"/>
              </w:rPr>
            </w:pPr>
            <w:r>
              <w:rPr>
                <w:i/>
                <w:sz w:val="20"/>
                <w:szCs w:val="20"/>
              </w:rPr>
              <w:t>same as above</w:t>
            </w:r>
          </w:p>
        </w:tc>
        <w:tc>
          <w:tcPr>
            <w:tcW w:w="2070" w:type="dxa"/>
            <w:shd w:val="clear" w:color="auto" w:fill="auto"/>
          </w:tcPr>
          <w:p w14:paraId="31D249C7" w14:textId="4FD05515" w:rsidR="009C37E3" w:rsidRDefault="00867F8C" w:rsidP="00EF7E68">
            <w:pPr>
              <w:tabs>
                <w:tab w:val="left" w:pos="1740"/>
              </w:tabs>
              <w:jc w:val="center"/>
              <w:rPr>
                <w:sz w:val="20"/>
                <w:szCs w:val="20"/>
              </w:rPr>
            </w:pPr>
            <w:r>
              <w:rPr>
                <w:sz w:val="20"/>
                <w:szCs w:val="20"/>
              </w:rPr>
              <w:t>SOC 2000 (60</w:t>
            </w:r>
            <w:r w:rsidR="009C37E3">
              <w:rPr>
                <w:sz w:val="20"/>
                <w:szCs w:val="20"/>
              </w:rPr>
              <w:t>%)</w:t>
            </w:r>
          </w:p>
          <w:p w14:paraId="6B6520F2" w14:textId="41AF2719" w:rsidR="00797186" w:rsidRDefault="00867F8C" w:rsidP="00D757EF">
            <w:pPr>
              <w:tabs>
                <w:tab w:val="left" w:pos="1740"/>
              </w:tabs>
              <w:jc w:val="center"/>
              <w:rPr>
                <w:sz w:val="20"/>
                <w:szCs w:val="20"/>
              </w:rPr>
            </w:pPr>
            <w:r>
              <w:rPr>
                <w:sz w:val="20"/>
                <w:szCs w:val="20"/>
              </w:rPr>
              <w:t>SOC 4900</w:t>
            </w:r>
            <w:r w:rsidR="00E25069">
              <w:rPr>
                <w:sz w:val="20"/>
                <w:szCs w:val="20"/>
              </w:rPr>
              <w:t xml:space="preserve"> </w:t>
            </w:r>
            <w:r w:rsidR="009C37E3">
              <w:rPr>
                <w:sz w:val="20"/>
                <w:szCs w:val="20"/>
              </w:rPr>
              <w:t>(</w:t>
            </w:r>
            <w:r>
              <w:rPr>
                <w:sz w:val="20"/>
                <w:szCs w:val="20"/>
              </w:rPr>
              <w:t>69</w:t>
            </w:r>
            <w:r w:rsidR="009C37E3">
              <w:rPr>
                <w:sz w:val="20"/>
                <w:szCs w:val="20"/>
              </w:rPr>
              <w:t>%)</w:t>
            </w:r>
          </w:p>
        </w:tc>
        <w:tc>
          <w:tcPr>
            <w:tcW w:w="2880" w:type="dxa"/>
          </w:tcPr>
          <w:p w14:paraId="21ADD2F6" w14:textId="77777777" w:rsidR="00797186" w:rsidRDefault="00797186" w:rsidP="00EF7E68">
            <w:pPr>
              <w:tabs>
                <w:tab w:val="left" w:pos="1740"/>
              </w:tabs>
              <w:jc w:val="center"/>
              <w:rPr>
                <w:sz w:val="20"/>
                <w:szCs w:val="20"/>
              </w:rPr>
            </w:pPr>
          </w:p>
          <w:p w14:paraId="2482E256" w14:textId="77777777" w:rsidR="009C37E3" w:rsidRDefault="009C37E3" w:rsidP="00EF7E68">
            <w:pPr>
              <w:tabs>
                <w:tab w:val="left" w:pos="1740"/>
              </w:tabs>
              <w:jc w:val="center"/>
              <w:rPr>
                <w:sz w:val="20"/>
                <w:szCs w:val="20"/>
              </w:rPr>
            </w:pPr>
            <w:r>
              <w:rPr>
                <w:i/>
                <w:sz w:val="20"/>
                <w:szCs w:val="20"/>
              </w:rPr>
              <w:t>same as above</w:t>
            </w:r>
          </w:p>
        </w:tc>
      </w:tr>
      <w:tr w:rsidR="00E017F7" w14:paraId="4FB1C04C" w14:textId="77777777" w:rsidTr="001E61F4">
        <w:tc>
          <w:tcPr>
            <w:tcW w:w="2335" w:type="dxa"/>
          </w:tcPr>
          <w:p w14:paraId="2ECD3589" w14:textId="77777777" w:rsidR="00797186" w:rsidRDefault="00797186" w:rsidP="00E017F7">
            <w:pPr>
              <w:tabs>
                <w:tab w:val="left" w:pos="1740"/>
              </w:tabs>
              <w:rPr>
                <w:sz w:val="20"/>
                <w:szCs w:val="20"/>
              </w:rPr>
            </w:pPr>
            <w:r>
              <w:rPr>
                <w:sz w:val="20"/>
                <w:szCs w:val="20"/>
              </w:rPr>
              <w:t>3.</w:t>
            </w:r>
            <w:r w:rsidR="00E25069">
              <w:rPr>
                <w:sz w:val="20"/>
                <w:szCs w:val="20"/>
              </w:rPr>
              <w:t>demonstrate an understanding of</w:t>
            </w:r>
            <w:r w:rsidR="00E017F7">
              <w:rPr>
                <w:sz w:val="20"/>
                <w:szCs w:val="20"/>
              </w:rPr>
              <w:t xml:space="preserve"> methods of social inquiry</w:t>
            </w:r>
            <w:r w:rsidR="00E25069">
              <w:rPr>
                <w:sz w:val="20"/>
                <w:szCs w:val="20"/>
              </w:rPr>
              <w:t xml:space="preserve"> </w:t>
            </w:r>
          </w:p>
        </w:tc>
        <w:tc>
          <w:tcPr>
            <w:tcW w:w="2790" w:type="dxa"/>
          </w:tcPr>
          <w:p w14:paraId="118B9619" w14:textId="77777777" w:rsidR="00797186" w:rsidRDefault="00797186" w:rsidP="00EF7E68">
            <w:pPr>
              <w:tabs>
                <w:tab w:val="left" w:pos="1740"/>
              </w:tabs>
              <w:jc w:val="center"/>
              <w:rPr>
                <w:sz w:val="20"/>
                <w:szCs w:val="20"/>
              </w:rPr>
            </w:pPr>
          </w:p>
          <w:p w14:paraId="330A01F1" w14:textId="77777777" w:rsidR="00E25069" w:rsidRDefault="00E25069" w:rsidP="00EF7E68">
            <w:pPr>
              <w:tabs>
                <w:tab w:val="left" w:pos="1740"/>
              </w:tabs>
              <w:jc w:val="center"/>
              <w:rPr>
                <w:sz w:val="20"/>
                <w:szCs w:val="20"/>
              </w:rPr>
            </w:pPr>
            <w:r>
              <w:rPr>
                <w:i/>
                <w:sz w:val="20"/>
                <w:szCs w:val="20"/>
              </w:rPr>
              <w:t>same as above</w:t>
            </w:r>
          </w:p>
        </w:tc>
        <w:tc>
          <w:tcPr>
            <w:tcW w:w="2430" w:type="dxa"/>
          </w:tcPr>
          <w:p w14:paraId="21F9519F" w14:textId="77777777" w:rsidR="00797186" w:rsidRDefault="00797186" w:rsidP="00EF7E68">
            <w:pPr>
              <w:tabs>
                <w:tab w:val="left" w:pos="1740"/>
              </w:tabs>
              <w:jc w:val="center"/>
              <w:rPr>
                <w:sz w:val="20"/>
                <w:szCs w:val="20"/>
              </w:rPr>
            </w:pPr>
          </w:p>
          <w:p w14:paraId="74BCF6C8" w14:textId="77777777" w:rsidR="00E25069" w:rsidRDefault="00E25069" w:rsidP="00EF7E68">
            <w:pPr>
              <w:tabs>
                <w:tab w:val="left" w:pos="1740"/>
              </w:tabs>
              <w:jc w:val="center"/>
              <w:rPr>
                <w:sz w:val="20"/>
                <w:szCs w:val="20"/>
              </w:rPr>
            </w:pPr>
            <w:r>
              <w:rPr>
                <w:i/>
                <w:sz w:val="20"/>
                <w:szCs w:val="20"/>
              </w:rPr>
              <w:t>same as above</w:t>
            </w:r>
          </w:p>
        </w:tc>
        <w:tc>
          <w:tcPr>
            <w:tcW w:w="2070" w:type="dxa"/>
            <w:shd w:val="clear" w:color="auto" w:fill="auto"/>
          </w:tcPr>
          <w:p w14:paraId="10545570" w14:textId="6FCF5348" w:rsidR="00797186" w:rsidRDefault="00867F8C" w:rsidP="00EF7E68">
            <w:pPr>
              <w:tabs>
                <w:tab w:val="left" w:pos="1740"/>
              </w:tabs>
              <w:jc w:val="center"/>
              <w:rPr>
                <w:sz w:val="20"/>
                <w:szCs w:val="20"/>
              </w:rPr>
            </w:pPr>
            <w:r>
              <w:rPr>
                <w:sz w:val="20"/>
                <w:szCs w:val="20"/>
              </w:rPr>
              <w:t>SOC 2000 (61</w:t>
            </w:r>
            <w:r w:rsidR="00E25069">
              <w:rPr>
                <w:sz w:val="20"/>
                <w:szCs w:val="20"/>
              </w:rPr>
              <w:t>%)</w:t>
            </w:r>
          </w:p>
          <w:p w14:paraId="0E5E6A0E" w14:textId="4BE2409E" w:rsidR="00E25069" w:rsidRDefault="00867F8C" w:rsidP="00EF7E68">
            <w:pPr>
              <w:tabs>
                <w:tab w:val="left" w:pos="1740"/>
              </w:tabs>
              <w:jc w:val="center"/>
              <w:rPr>
                <w:sz w:val="20"/>
                <w:szCs w:val="20"/>
              </w:rPr>
            </w:pPr>
            <w:r>
              <w:rPr>
                <w:sz w:val="20"/>
                <w:szCs w:val="20"/>
              </w:rPr>
              <w:t>SOC 4900 (70</w:t>
            </w:r>
            <w:r w:rsidR="00E25069">
              <w:rPr>
                <w:sz w:val="20"/>
                <w:szCs w:val="20"/>
              </w:rPr>
              <w:t>%)</w:t>
            </w:r>
          </w:p>
        </w:tc>
        <w:tc>
          <w:tcPr>
            <w:tcW w:w="2880" w:type="dxa"/>
          </w:tcPr>
          <w:p w14:paraId="57174FAF" w14:textId="77777777" w:rsidR="00797186" w:rsidRDefault="00797186" w:rsidP="00EF7E68">
            <w:pPr>
              <w:tabs>
                <w:tab w:val="left" w:pos="1740"/>
              </w:tabs>
              <w:jc w:val="center"/>
              <w:rPr>
                <w:sz w:val="20"/>
                <w:szCs w:val="20"/>
              </w:rPr>
            </w:pPr>
          </w:p>
          <w:p w14:paraId="3458DA0C" w14:textId="77777777" w:rsidR="00E25069" w:rsidRDefault="00E25069" w:rsidP="00EF7E68">
            <w:pPr>
              <w:tabs>
                <w:tab w:val="left" w:pos="1740"/>
              </w:tabs>
              <w:jc w:val="center"/>
              <w:rPr>
                <w:sz w:val="20"/>
                <w:szCs w:val="20"/>
              </w:rPr>
            </w:pPr>
            <w:r>
              <w:rPr>
                <w:i/>
                <w:sz w:val="20"/>
                <w:szCs w:val="20"/>
              </w:rPr>
              <w:t>same as above</w:t>
            </w:r>
          </w:p>
        </w:tc>
      </w:tr>
      <w:tr w:rsidR="00E017F7" w14:paraId="2713F0CE" w14:textId="77777777" w:rsidTr="001E61F4">
        <w:tc>
          <w:tcPr>
            <w:tcW w:w="2335" w:type="dxa"/>
          </w:tcPr>
          <w:p w14:paraId="712AF774" w14:textId="77777777" w:rsidR="00E25069" w:rsidRDefault="00E25069" w:rsidP="00E017F7">
            <w:pPr>
              <w:tabs>
                <w:tab w:val="left" w:pos="1740"/>
              </w:tabs>
              <w:rPr>
                <w:sz w:val="20"/>
                <w:szCs w:val="20"/>
              </w:rPr>
            </w:pPr>
            <w:r>
              <w:rPr>
                <w:sz w:val="20"/>
                <w:szCs w:val="20"/>
              </w:rPr>
              <w:t xml:space="preserve">4. </w:t>
            </w:r>
            <w:r w:rsidR="00E017F7">
              <w:rPr>
                <w:sz w:val="20"/>
                <w:szCs w:val="20"/>
              </w:rPr>
              <w:t>demonstrate an understanding of statistical methods and analysis</w:t>
            </w:r>
          </w:p>
        </w:tc>
        <w:tc>
          <w:tcPr>
            <w:tcW w:w="2790" w:type="dxa"/>
          </w:tcPr>
          <w:p w14:paraId="186400CC" w14:textId="77777777" w:rsidR="00E25069" w:rsidRDefault="00E25069" w:rsidP="00EF7E68">
            <w:pPr>
              <w:tabs>
                <w:tab w:val="left" w:pos="1740"/>
              </w:tabs>
              <w:jc w:val="center"/>
              <w:rPr>
                <w:sz w:val="20"/>
                <w:szCs w:val="20"/>
              </w:rPr>
            </w:pPr>
            <w:r>
              <w:rPr>
                <w:i/>
                <w:sz w:val="20"/>
                <w:szCs w:val="20"/>
              </w:rPr>
              <w:t>same as above</w:t>
            </w:r>
          </w:p>
        </w:tc>
        <w:tc>
          <w:tcPr>
            <w:tcW w:w="2430" w:type="dxa"/>
          </w:tcPr>
          <w:p w14:paraId="4F7F5C10" w14:textId="77777777" w:rsidR="00E25069" w:rsidRDefault="00E25069" w:rsidP="00EF7E68">
            <w:pPr>
              <w:tabs>
                <w:tab w:val="left" w:pos="1740"/>
              </w:tabs>
              <w:jc w:val="center"/>
              <w:rPr>
                <w:sz w:val="20"/>
                <w:szCs w:val="20"/>
              </w:rPr>
            </w:pPr>
            <w:r>
              <w:rPr>
                <w:i/>
                <w:sz w:val="20"/>
                <w:szCs w:val="20"/>
              </w:rPr>
              <w:t>same as above</w:t>
            </w:r>
          </w:p>
        </w:tc>
        <w:tc>
          <w:tcPr>
            <w:tcW w:w="2070" w:type="dxa"/>
            <w:shd w:val="clear" w:color="auto" w:fill="auto"/>
          </w:tcPr>
          <w:p w14:paraId="63FBB65D" w14:textId="06636F75" w:rsidR="00E25069" w:rsidRDefault="00867F8C" w:rsidP="00EF7E68">
            <w:pPr>
              <w:tabs>
                <w:tab w:val="left" w:pos="1740"/>
              </w:tabs>
              <w:jc w:val="center"/>
              <w:rPr>
                <w:sz w:val="20"/>
                <w:szCs w:val="20"/>
              </w:rPr>
            </w:pPr>
            <w:r>
              <w:rPr>
                <w:sz w:val="20"/>
                <w:szCs w:val="20"/>
              </w:rPr>
              <w:t>SOC 2000</w:t>
            </w:r>
            <w:r w:rsidR="00D757EF">
              <w:rPr>
                <w:sz w:val="20"/>
                <w:szCs w:val="20"/>
              </w:rPr>
              <w:t xml:space="preserve"> (4</w:t>
            </w:r>
            <w:r>
              <w:rPr>
                <w:sz w:val="20"/>
                <w:szCs w:val="20"/>
              </w:rPr>
              <w:t>2</w:t>
            </w:r>
            <w:r w:rsidR="00E017F7">
              <w:rPr>
                <w:sz w:val="20"/>
                <w:szCs w:val="20"/>
              </w:rPr>
              <w:t>%)</w:t>
            </w:r>
          </w:p>
          <w:p w14:paraId="4A9004D9" w14:textId="42B24A0D" w:rsidR="00E017F7" w:rsidRDefault="00867F8C" w:rsidP="00EF7E68">
            <w:pPr>
              <w:tabs>
                <w:tab w:val="left" w:pos="1740"/>
              </w:tabs>
              <w:jc w:val="center"/>
              <w:rPr>
                <w:sz w:val="20"/>
                <w:szCs w:val="20"/>
              </w:rPr>
            </w:pPr>
            <w:r>
              <w:rPr>
                <w:sz w:val="20"/>
                <w:szCs w:val="20"/>
              </w:rPr>
              <w:t>SOC 4900 (61</w:t>
            </w:r>
            <w:r w:rsidR="00E017F7">
              <w:rPr>
                <w:sz w:val="20"/>
                <w:szCs w:val="20"/>
              </w:rPr>
              <w:t>%)</w:t>
            </w:r>
          </w:p>
        </w:tc>
        <w:tc>
          <w:tcPr>
            <w:tcW w:w="2880" w:type="dxa"/>
          </w:tcPr>
          <w:p w14:paraId="1216C45D" w14:textId="77777777" w:rsidR="00E25069" w:rsidRDefault="00E25069" w:rsidP="00EF7E68">
            <w:pPr>
              <w:tabs>
                <w:tab w:val="left" w:pos="1740"/>
              </w:tabs>
              <w:jc w:val="center"/>
              <w:rPr>
                <w:sz w:val="20"/>
                <w:szCs w:val="20"/>
              </w:rPr>
            </w:pPr>
          </w:p>
          <w:p w14:paraId="0E77DADC" w14:textId="77777777" w:rsidR="00E017F7" w:rsidRDefault="00E017F7" w:rsidP="00EF7E68">
            <w:pPr>
              <w:tabs>
                <w:tab w:val="left" w:pos="1740"/>
              </w:tabs>
              <w:jc w:val="center"/>
              <w:rPr>
                <w:sz w:val="20"/>
                <w:szCs w:val="20"/>
              </w:rPr>
            </w:pPr>
            <w:r>
              <w:rPr>
                <w:i/>
                <w:sz w:val="20"/>
                <w:szCs w:val="20"/>
              </w:rPr>
              <w:t>same as above</w:t>
            </w:r>
          </w:p>
        </w:tc>
      </w:tr>
      <w:tr w:rsidR="00EF7E68" w14:paraId="4188B86B" w14:textId="77777777" w:rsidTr="001E61F4">
        <w:tc>
          <w:tcPr>
            <w:tcW w:w="2335" w:type="dxa"/>
          </w:tcPr>
          <w:p w14:paraId="4309E23B" w14:textId="77777777" w:rsidR="00E017F7" w:rsidRDefault="00E017F7" w:rsidP="00FC2E7C">
            <w:pPr>
              <w:tabs>
                <w:tab w:val="left" w:pos="1740"/>
              </w:tabs>
              <w:rPr>
                <w:sz w:val="20"/>
                <w:szCs w:val="20"/>
              </w:rPr>
            </w:pPr>
            <w:r>
              <w:rPr>
                <w:sz w:val="20"/>
                <w:szCs w:val="20"/>
              </w:rPr>
              <w:t>5. demonstrate an understanding of what is meant by the “sociological imagination”</w:t>
            </w:r>
          </w:p>
        </w:tc>
        <w:tc>
          <w:tcPr>
            <w:tcW w:w="2790" w:type="dxa"/>
          </w:tcPr>
          <w:p w14:paraId="6D38D1A4" w14:textId="77777777" w:rsidR="00E017F7" w:rsidRDefault="00E017F7" w:rsidP="00EF7E68">
            <w:pPr>
              <w:tabs>
                <w:tab w:val="left" w:pos="1740"/>
              </w:tabs>
              <w:jc w:val="center"/>
              <w:rPr>
                <w:i/>
                <w:sz w:val="20"/>
                <w:szCs w:val="20"/>
              </w:rPr>
            </w:pPr>
          </w:p>
          <w:p w14:paraId="37CF631C" w14:textId="77777777" w:rsidR="00E017F7" w:rsidRDefault="00E017F7" w:rsidP="00EF7E68">
            <w:pPr>
              <w:tabs>
                <w:tab w:val="left" w:pos="1740"/>
              </w:tabs>
              <w:jc w:val="center"/>
              <w:rPr>
                <w:i/>
                <w:sz w:val="20"/>
                <w:szCs w:val="20"/>
              </w:rPr>
            </w:pPr>
            <w:r>
              <w:rPr>
                <w:i/>
                <w:sz w:val="20"/>
                <w:szCs w:val="20"/>
              </w:rPr>
              <w:t>same as above</w:t>
            </w:r>
          </w:p>
        </w:tc>
        <w:tc>
          <w:tcPr>
            <w:tcW w:w="2430" w:type="dxa"/>
          </w:tcPr>
          <w:p w14:paraId="2A19FD9E" w14:textId="77777777" w:rsidR="00E017F7" w:rsidRDefault="00E017F7" w:rsidP="00EF7E68">
            <w:pPr>
              <w:tabs>
                <w:tab w:val="left" w:pos="1740"/>
              </w:tabs>
              <w:jc w:val="center"/>
              <w:rPr>
                <w:i/>
                <w:sz w:val="20"/>
                <w:szCs w:val="20"/>
              </w:rPr>
            </w:pPr>
          </w:p>
          <w:p w14:paraId="42236513" w14:textId="77777777" w:rsidR="00E017F7" w:rsidRDefault="00E017F7" w:rsidP="00EF7E68">
            <w:pPr>
              <w:tabs>
                <w:tab w:val="left" w:pos="1740"/>
              </w:tabs>
              <w:jc w:val="center"/>
              <w:rPr>
                <w:i/>
                <w:sz w:val="20"/>
                <w:szCs w:val="20"/>
              </w:rPr>
            </w:pPr>
            <w:r>
              <w:rPr>
                <w:i/>
                <w:sz w:val="20"/>
                <w:szCs w:val="20"/>
              </w:rPr>
              <w:t>same as above</w:t>
            </w:r>
          </w:p>
        </w:tc>
        <w:tc>
          <w:tcPr>
            <w:tcW w:w="2070" w:type="dxa"/>
            <w:shd w:val="clear" w:color="auto" w:fill="auto"/>
          </w:tcPr>
          <w:p w14:paraId="62E9591A" w14:textId="2BCD366F" w:rsidR="00E017F7" w:rsidRDefault="00867F8C" w:rsidP="00EF7E68">
            <w:pPr>
              <w:tabs>
                <w:tab w:val="left" w:pos="1740"/>
              </w:tabs>
              <w:jc w:val="center"/>
              <w:rPr>
                <w:sz w:val="20"/>
                <w:szCs w:val="20"/>
              </w:rPr>
            </w:pPr>
            <w:r>
              <w:rPr>
                <w:sz w:val="20"/>
                <w:szCs w:val="20"/>
              </w:rPr>
              <w:t>SOC 2000</w:t>
            </w:r>
            <w:r w:rsidR="00E017F7">
              <w:rPr>
                <w:sz w:val="20"/>
                <w:szCs w:val="20"/>
              </w:rPr>
              <w:t xml:space="preserve"> (</w:t>
            </w:r>
            <w:r>
              <w:rPr>
                <w:sz w:val="20"/>
                <w:szCs w:val="20"/>
              </w:rPr>
              <w:t>58</w:t>
            </w:r>
            <w:r w:rsidR="00E017F7">
              <w:rPr>
                <w:sz w:val="20"/>
                <w:szCs w:val="20"/>
              </w:rPr>
              <w:t>%)</w:t>
            </w:r>
          </w:p>
          <w:p w14:paraId="2D0C1410" w14:textId="5E3D977E" w:rsidR="00E017F7" w:rsidRDefault="00867F8C" w:rsidP="00EF7E68">
            <w:pPr>
              <w:tabs>
                <w:tab w:val="left" w:pos="1740"/>
              </w:tabs>
              <w:jc w:val="center"/>
              <w:rPr>
                <w:sz w:val="20"/>
                <w:szCs w:val="20"/>
              </w:rPr>
            </w:pPr>
            <w:r>
              <w:rPr>
                <w:sz w:val="20"/>
                <w:szCs w:val="20"/>
              </w:rPr>
              <w:t>SOC 4900 (73</w:t>
            </w:r>
            <w:r w:rsidR="001773B4">
              <w:rPr>
                <w:sz w:val="20"/>
                <w:szCs w:val="20"/>
              </w:rPr>
              <w:t>%)</w:t>
            </w:r>
          </w:p>
        </w:tc>
        <w:tc>
          <w:tcPr>
            <w:tcW w:w="2880" w:type="dxa"/>
          </w:tcPr>
          <w:p w14:paraId="436A6694" w14:textId="77777777" w:rsidR="00E017F7" w:rsidRDefault="00E017F7" w:rsidP="00EF7E68">
            <w:pPr>
              <w:tabs>
                <w:tab w:val="left" w:pos="1740"/>
              </w:tabs>
              <w:jc w:val="center"/>
              <w:rPr>
                <w:sz w:val="20"/>
                <w:szCs w:val="20"/>
              </w:rPr>
            </w:pPr>
          </w:p>
          <w:p w14:paraId="63EE2184" w14:textId="77777777" w:rsidR="001773B4" w:rsidRDefault="001773B4" w:rsidP="00EF7E68">
            <w:pPr>
              <w:tabs>
                <w:tab w:val="left" w:pos="1740"/>
              </w:tabs>
              <w:jc w:val="center"/>
              <w:rPr>
                <w:sz w:val="20"/>
                <w:szCs w:val="20"/>
              </w:rPr>
            </w:pPr>
            <w:r>
              <w:rPr>
                <w:i/>
                <w:sz w:val="20"/>
                <w:szCs w:val="20"/>
              </w:rPr>
              <w:t>same as above</w:t>
            </w:r>
          </w:p>
        </w:tc>
      </w:tr>
      <w:tr w:rsidR="001773B4" w14:paraId="30880533" w14:textId="77777777" w:rsidTr="001E61F4">
        <w:tc>
          <w:tcPr>
            <w:tcW w:w="2335" w:type="dxa"/>
          </w:tcPr>
          <w:p w14:paraId="3517B731" w14:textId="77777777" w:rsidR="001773B4" w:rsidRDefault="001773B4" w:rsidP="00FC2E7C">
            <w:pPr>
              <w:tabs>
                <w:tab w:val="left" w:pos="1740"/>
              </w:tabs>
              <w:rPr>
                <w:sz w:val="20"/>
                <w:szCs w:val="20"/>
              </w:rPr>
            </w:pPr>
            <w:r>
              <w:rPr>
                <w:sz w:val="20"/>
                <w:szCs w:val="20"/>
              </w:rPr>
              <w:t>6. demonstrate an understanding of social and cultural diversity</w:t>
            </w:r>
          </w:p>
        </w:tc>
        <w:tc>
          <w:tcPr>
            <w:tcW w:w="2790" w:type="dxa"/>
          </w:tcPr>
          <w:p w14:paraId="69DB8FDD" w14:textId="77777777" w:rsidR="001773B4" w:rsidRDefault="001773B4" w:rsidP="00EF7E68">
            <w:pPr>
              <w:tabs>
                <w:tab w:val="left" w:pos="1740"/>
              </w:tabs>
              <w:jc w:val="center"/>
              <w:rPr>
                <w:i/>
                <w:sz w:val="20"/>
                <w:szCs w:val="20"/>
              </w:rPr>
            </w:pPr>
          </w:p>
          <w:p w14:paraId="272B12EA" w14:textId="77777777" w:rsidR="001773B4" w:rsidRDefault="001773B4" w:rsidP="00EF7E68">
            <w:pPr>
              <w:tabs>
                <w:tab w:val="left" w:pos="1740"/>
              </w:tabs>
              <w:jc w:val="center"/>
              <w:rPr>
                <w:i/>
                <w:sz w:val="20"/>
                <w:szCs w:val="20"/>
              </w:rPr>
            </w:pPr>
            <w:r>
              <w:rPr>
                <w:i/>
                <w:sz w:val="20"/>
                <w:szCs w:val="20"/>
              </w:rPr>
              <w:t>same as above</w:t>
            </w:r>
          </w:p>
        </w:tc>
        <w:tc>
          <w:tcPr>
            <w:tcW w:w="2430" w:type="dxa"/>
          </w:tcPr>
          <w:p w14:paraId="3A8157A0" w14:textId="77777777" w:rsidR="001773B4" w:rsidRDefault="001773B4" w:rsidP="00EF7E68">
            <w:pPr>
              <w:tabs>
                <w:tab w:val="left" w:pos="1740"/>
              </w:tabs>
              <w:jc w:val="center"/>
              <w:rPr>
                <w:i/>
                <w:sz w:val="20"/>
                <w:szCs w:val="20"/>
              </w:rPr>
            </w:pPr>
          </w:p>
          <w:p w14:paraId="0F0B6CF2" w14:textId="77777777" w:rsidR="001773B4" w:rsidRDefault="001773B4" w:rsidP="00EF7E68">
            <w:pPr>
              <w:tabs>
                <w:tab w:val="left" w:pos="1740"/>
              </w:tabs>
              <w:jc w:val="center"/>
              <w:rPr>
                <w:i/>
                <w:sz w:val="20"/>
                <w:szCs w:val="20"/>
              </w:rPr>
            </w:pPr>
            <w:r>
              <w:rPr>
                <w:i/>
                <w:sz w:val="20"/>
                <w:szCs w:val="20"/>
              </w:rPr>
              <w:t>same as above</w:t>
            </w:r>
          </w:p>
        </w:tc>
        <w:tc>
          <w:tcPr>
            <w:tcW w:w="2070" w:type="dxa"/>
            <w:shd w:val="clear" w:color="auto" w:fill="auto"/>
          </w:tcPr>
          <w:p w14:paraId="445F2EE5" w14:textId="4E013727" w:rsidR="001773B4" w:rsidRDefault="00867F8C" w:rsidP="00EF7E68">
            <w:pPr>
              <w:tabs>
                <w:tab w:val="left" w:pos="1740"/>
              </w:tabs>
              <w:jc w:val="center"/>
              <w:rPr>
                <w:sz w:val="20"/>
                <w:szCs w:val="20"/>
              </w:rPr>
            </w:pPr>
            <w:r>
              <w:rPr>
                <w:sz w:val="20"/>
                <w:szCs w:val="20"/>
              </w:rPr>
              <w:t>SOC 2000</w:t>
            </w:r>
            <w:r w:rsidR="001773B4">
              <w:rPr>
                <w:sz w:val="20"/>
                <w:szCs w:val="20"/>
              </w:rPr>
              <w:t xml:space="preserve"> (7</w:t>
            </w:r>
            <w:r>
              <w:rPr>
                <w:sz w:val="20"/>
                <w:szCs w:val="20"/>
              </w:rPr>
              <w:t>4</w:t>
            </w:r>
            <w:r w:rsidR="001773B4">
              <w:rPr>
                <w:sz w:val="20"/>
                <w:szCs w:val="20"/>
              </w:rPr>
              <w:t>%)</w:t>
            </w:r>
          </w:p>
          <w:p w14:paraId="1296DCC3" w14:textId="489C2201" w:rsidR="001773B4" w:rsidRDefault="00867F8C" w:rsidP="00EF7E68">
            <w:pPr>
              <w:tabs>
                <w:tab w:val="left" w:pos="1740"/>
              </w:tabs>
              <w:jc w:val="center"/>
              <w:rPr>
                <w:sz w:val="20"/>
                <w:szCs w:val="20"/>
              </w:rPr>
            </w:pPr>
            <w:r>
              <w:rPr>
                <w:sz w:val="20"/>
                <w:szCs w:val="20"/>
              </w:rPr>
              <w:t>SOC 4900 (77</w:t>
            </w:r>
            <w:r w:rsidR="001773B4">
              <w:rPr>
                <w:sz w:val="20"/>
                <w:szCs w:val="20"/>
              </w:rPr>
              <w:t>%)</w:t>
            </w:r>
          </w:p>
        </w:tc>
        <w:tc>
          <w:tcPr>
            <w:tcW w:w="2880" w:type="dxa"/>
          </w:tcPr>
          <w:p w14:paraId="409FE8F3" w14:textId="77777777" w:rsidR="001773B4" w:rsidRDefault="001773B4" w:rsidP="00EF7E68">
            <w:pPr>
              <w:tabs>
                <w:tab w:val="left" w:pos="1740"/>
              </w:tabs>
              <w:jc w:val="center"/>
              <w:rPr>
                <w:sz w:val="20"/>
                <w:szCs w:val="20"/>
              </w:rPr>
            </w:pPr>
          </w:p>
          <w:p w14:paraId="51B89063" w14:textId="77777777" w:rsidR="001773B4" w:rsidRDefault="001773B4" w:rsidP="00EF7E68">
            <w:pPr>
              <w:tabs>
                <w:tab w:val="left" w:pos="1740"/>
              </w:tabs>
              <w:jc w:val="center"/>
              <w:rPr>
                <w:sz w:val="20"/>
                <w:szCs w:val="20"/>
              </w:rPr>
            </w:pPr>
            <w:r>
              <w:rPr>
                <w:i/>
                <w:sz w:val="20"/>
                <w:szCs w:val="20"/>
              </w:rPr>
              <w:t>same as above</w:t>
            </w:r>
          </w:p>
        </w:tc>
      </w:tr>
    </w:tbl>
    <w:p w14:paraId="6D3C4A32" w14:textId="77777777" w:rsidR="00797186" w:rsidRDefault="00797186" w:rsidP="00797186">
      <w:pPr>
        <w:tabs>
          <w:tab w:val="left" w:pos="1740"/>
        </w:tabs>
        <w:rPr>
          <w:sz w:val="20"/>
          <w:szCs w:val="20"/>
        </w:rPr>
      </w:pPr>
    </w:p>
    <w:p w14:paraId="74EEB94B" w14:textId="77777777" w:rsidR="0031771D" w:rsidRDefault="0031771D">
      <w:pPr>
        <w:tabs>
          <w:tab w:val="left" w:pos="1740"/>
        </w:tabs>
        <w:rPr>
          <w:b/>
          <w:bCs/>
        </w:rPr>
      </w:pPr>
    </w:p>
    <w:p w14:paraId="05477A52" w14:textId="77777777" w:rsidR="00CC127E" w:rsidRDefault="00CC127E">
      <w:pPr>
        <w:tabs>
          <w:tab w:val="left" w:pos="1740"/>
        </w:tabs>
        <w:rPr>
          <w:b/>
          <w:bCs/>
        </w:rPr>
      </w:pPr>
      <w:r>
        <w:rPr>
          <w:b/>
          <w:bCs/>
        </w:rPr>
        <w:lastRenderedPageBreak/>
        <w:t>PART TWO</w:t>
      </w:r>
    </w:p>
    <w:p w14:paraId="222C49DF" w14:textId="77777777" w:rsidR="001035DE"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14:paraId="181ABEB0" w14:textId="77777777" w:rsidR="001773B4" w:rsidRDefault="001773B4" w:rsidP="00C90F61">
      <w:pPr>
        <w:rPr>
          <w:sz w:val="22"/>
          <w:szCs w:val="22"/>
        </w:rPr>
      </w:pPr>
    </w:p>
    <w:p w14:paraId="67A8CEA5" w14:textId="24F89355" w:rsidR="0039087C" w:rsidRDefault="00D805B5" w:rsidP="00C90F61">
      <w:pPr>
        <w:rPr>
          <w:sz w:val="22"/>
          <w:szCs w:val="22"/>
        </w:rPr>
      </w:pPr>
      <w:r>
        <w:rPr>
          <w:sz w:val="22"/>
          <w:szCs w:val="22"/>
        </w:rPr>
        <w:t xml:space="preserve">This year, we administered the </w:t>
      </w:r>
      <w:r w:rsidR="00867F8C">
        <w:rPr>
          <w:sz w:val="22"/>
          <w:szCs w:val="22"/>
        </w:rPr>
        <w:t xml:space="preserve">assessment survey instrument developed </w:t>
      </w:r>
      <w:r>
        <w:rPr>
          <w:sz w:val="22"/>
          <w:szCs w:val="22"/>
        </w:rPr>
        <w:t>in</w:t>
      </w:r>
      <w:r w:rsidR="00867F8C">
        <w:rPr>
          <w:sz w:val="22"/>
          <w:szCs w:val="22"/>
        </w:rPr>
        <w:t xml:space="preserve"> 2015-2016</w:t>
      </w:r>
      <w:r>
        <w:rPr>
          <w:sz w:val="22"/>
          <w:szCs w:val="22"/>
        </w:rPr>
        <w:t xml:space="preserve">, for the second time.  We made one </w:t>
      </w:r>
      <w:r w:rsidR="0076678E">
        <w:rPr>
          <w:sz w:val="22"/>
          <w:szCs w:val="22"/>
        </w:rPr>
        <w:t>minor modification</w:t>
      </w:r>
      <w:r>
        <w:rPr>
          <w:sz w:val="22"/>
          <w:szCs w:val="22"/>
        </w:rPr>
        <w:t xml:space="preserve"> to the questionnaire. This year we included a question that asked students to indicate in which</w:t>
      </w:r>
      <w:r w:rsidR="006F6A4D">
        <w:rPr>
          <w:sz w:val="22"/>
          <w:szCs w:val="22"/>
        </w:rPr>
        <w:t xml:space="preserve"> class</w:t>
      </w:r>
      <w:r>
        <w:rPr>
          <w:sz w:val="22"/>
          <w:szCs w:val="22"/>
        </w:rPr>
        <w:t xml:space="preserve"> they were enrolled while</w:t>
      </w:r>
      <w:r w:rsidR="0076678E">
        <w:rPr>
          <w:sz w:val="22"/>
          <w:szCs w:val="22"/>
        </w:rPr>
        <w:t xml:space="preserve"> taking the survey. This change allows</w:t>
      </w:r>
      <w:r>
        <w:rPr>
          <w:sz w:val="22"/>
          <w:szCs w:val="22"/>
        </w:rPr>
        <w:t xml:space="preserve"> us</w:t>
      </w:r>
      <w:r w:rsidR="0076678E">
        <w:rPr>
          <w:sz w:val="22"/>
          <w:szCs w:val="22"/>
        </w:rPr>
        <w:t xml:space="preserve"> to distinguish between our more advanced and recent majors. </w:t>
      </w:r>
      <w:r w:rsidR="0072734A">
        <w:rPr>
          <w:sz w:val="22"/>
          <w:szCs w:val="22"/>
        </w:rPr>
        <w:t xml:space="preserve">The questionnaire, administered through Qualtrics, </w:t>
      </w:r>
      <w:r w:rsidR="008F38E9">
        <w:rPr>
          <w:sz w:val="22"/>
          <w:szCs w:val="22"/>
        </w:rPr>
        <w:t>consists of 4</w:t>
      </w:r>
      <w:r w:rsidR="0076678E">
        <w:rPr>
          <w:sz w:val="22"/>
          <w:szCs w:val="22"/>
        </w:rPr>
        <w:t>5</w:t>
      </w:r>
      <w:r w:rsidR="008F38E9">
        <w:rPr>
          <w:sz w:val="22"/>
          <w:szCs w:val="22"/>
        </w:rPr>
        <w:t xml:space="preserve"> questions, 37 of which are designed to </w:t>
      </w:r>
      <w:r w:rsidR="00244295">
        <w:rPr>
          <w:sz w:val="22"/>
          <w:szCs w:val="22"/>
        </w:rPr>
        <w:t xml:space="preserve">broadly </w:t>
      </w:r>
      <w:r w:rsidR="008F38E9">
        <w:rPr>
          <w:sz w:val="22"/>
          <w:szCs w:val="22"/>
        </w:rPr>
        <w:t>assess students’ knowledge</w:t>
      </w:r>
      <w:r w:rsidR="00244295">
        <w:rPr>
          <w:sz w:val="22"/>
          <w:szCs w:val="22"/>
        </w:rPr>
        <w:t xml:space="preserve"> in sociology and anthropology</w:t>
      </w:r>
      <w:r w:rsidR="001E61F4">
        <w:rPr>
          <w:sz w:val="22"/>
          <w:szCs w:val="22"/>
        </w:rPr>
        <w:t xml:space="preserve"> (see appendix)</w:t>
      </w:r>
      <w:r w:rsidR="00244295">
        <w:rPr>
          <w:sz w:val="22"/>
          <w:szCs w:val="22"/>
        </w:rPr>
        <w:t xml:space="preserve">. The remaining seven questions focus on identifying information, such as GPA, gender, race/ethnicity, class standing, and transfer status. The assessment questions fall into six main categories: 1) basic definitions 2) theory 3) </w:t>
      </w:r>
      <w:r w:rsidR="001E61F4">
        <w:rPr>
          <w:sz w:val="22"/>
          <w:szCs w:val="22"/>
        </w:rPr>
        <w:t>inquiry (</w:t>
      </w:r>
      <w:r w:rsidR="00244295">
        <w:rPr>
          <w:sz w:val="22"/>
          <w:szCs w:val="22"/>
        </w:rPr>
        <w:t>methods</w:t>
      </w:r>
      <w:r w:rsidR="001E61F4">
        <w:rPr>
          <w:sz w:val="22"/>
          <w:szCs w:val="22"/>
        </w:rPr>
        <w:t>)</w:t>
      </w:r>
      <w:r w:rsidR="00244295">
        <w:rPr>
          <w:sz w:val="22"/>
          <w:szCs w:val="22"/>
        </w:rPr>
        <w:t xml:space="preserve"> 4) statistics 5) </w:t>
      </w:r>
      <w:r w:rsidR="00FF48D8">
        <w:rPr>
          <w:sz w:val="22"/>
          <w:szCs w:val="22"/>
        </w:rPr>
        <w:t xml:space="preserve">the </w:t>
      </w:r>
      <w:r w:rsidR="00244295">
        <w:rPr>
          <w:sz w:val="22"/>
          <w:szCs w:val="22"/>
        </w:rPr>
        <w:t xml:space="preserve">sociological </w:t>
      </w:r>
      <w:r w:rsidR="00744E9D">
        <w:rPr>
          <w:sz w:val="22"/>
          <w:szCs w:val="22"/>
        </w:rPr>
        <w:t>imagination</w:t>
      </w:r>
      <w:r w:rsidR="00244295">
        <w:rPr>
          <w:sz w:val="22"/>
          <w:szCs w:val="22"/>
        </w:rPr>
        <w:t xml:space="preserve"> and 6) diversity. The number of questions in each category varies, from as little as six (in theory, methods, and </w:t>
      </w:r>
      <w:r w:rsidR="00744E9D">
        <w:rPr>
          <w:sz w:val="22"/>
          <w:szCs w:val="22"/>
        </w:rPr>
        <w:t>imagination</w:t>
      </w:r>
      <w:r w:rsidR="00244295">
        <w:rPr>
          <w:sz w:val="22"/>
          <w:szCs w:val="22"/>
        </w:rPr>
        <w:t xml:space="preserve">) to </w:t>
      </w:r>
      <w:r w:rsidR="00D77A7C">
        <w:rPr>
          <w:sz w:val="22"/>
          <w:szCs w:val="22"/>
        </w:rPr>
        <w:t xml:space="preserve">as many as </w:t>
      </w:r>
      <w:r w:rsidR="00244295">
        <w:rPr>
          <w:sz w:val="22"/>
          <w:szCs w:val="22"/>
        </w:rPr>
        <w:t>fifteen in “basic definitions.</w:t>
      </w:r>
      <w:r w:rsidR="00744E9D">
        <w:rPr>
          <w:sz w:val="22"/>
          <w:szCs w:val="22"/>
        </w:rPr>
        <w:t>” The q</w:t>
      </w:r>
      <w:r w:rsidR="00244295">
        <w:rPr>
          <w:sz w:val="22"/>
          <w:szCs w:val="22"/>
        </w:rPr>
        <w:t xml:space="preserve">uestions </w:t>
      </w:r>
      <w:r w:rsidR="00744E9D">
        <w:rPr>
          <w:sz w:val="22"/>
          <w:szCs w:val="22"/>
        </w:rPr>
        <w:t xml:space="preserve">that make up the survey </w:t>
      </w:r>
      <w:r w:rsidR="00244295">
        <w:rPr>
          <w:sz w:val="22"/>
          <w:szCs w:val="22"/>
        </w:rPr>
        <w:t xml:space="preserve">were </w:t>
      </w:r>
      <w:r w:rsidR="001E61F4">
        <w:rPr>
          <w:sz w:val="22"/>
          <w:szCs w:val="22"/>
        </w:rPr>
        <w:t xml:space="preserve">solicited from the </w:t>
      </w:r>
      <w:r w:rsidR="00EF57E3">
        <w:rPr>
          <w:sz w:val="22"/>
          <w:szCs w:val="22"/>
        </w:rPr>
        <w:t xml:space="preserve">faculty </w:t>
      </w:r>
      <w:r w:rsidR="00D77A7C">
        <w:rPr>
          <w:sz w:val="22"/>
          <w:szCs w:val="22"/>
        </w:rPr>
        <w:t xml:space="preserve">and then </w:t>
      </w:r>
      <w:r w:rsidR="00EF57E3">
        <w:rPr>
          <w:sz w:val="22"/>
          <w:szCs w:val="22"/>
        </w:rPr>
        <w:t xml:space="preserve">carefully </w:t>
      </w:r>
      <w:r w:rsidR="00D77A7C">
        <w:rPr>
          <w:sz w:val="22"/>
          <w:szCs w:val="22"/>
        </w:rPr>
        <w:t>selected</w:t>
      </w:r>
      <w:r w:rsidR="00EF57E3">
        <w:rPr>
          <w:sz w:val="22"/>
          <w:szCs w:val="22"/>
        </w:rPr>
        <w:t xml:space="preserve"> </w:t>
      </w:r>
      <w:r w:rsidR="001E61F4">
        <w:rPr>
          <w:sz w:val="22"/>
          <w:szCs w:val="22"/>
        </w:rPr>
        <w:t xml:space="preserve">by the assessment committee </w:t>
      </w:r>
      <w:r w:rsidR="00EF57E3">
        <w:rPr>
          <w:sz w:val="22"/>
          <w:szCs w:val="22"/>
        </w:rPr>
        <w:t xml:space="preserve">to </w:t>
      </w:r>
      <w:r w:rsidR="001E572B">
        <w:rPr>
          <w:sz w:val="22"/>
          <w:szCs w:val="22"/>
        </w:rPr>
        <w:t xml:space="preserve">create </w:t>
      </w:r>
      <w:r w:rsidR="00744E9D">
        <w:rPr>
          <w:sz w:val="22"/>
          <w:szCs w:val="22"/>
        </w:rPr>
        <w:t xml:space="preserve">an instrument </w:t>
      </w:r>
      <w:r w:rsidR="001E572B">
        <w:rPr>
          <w:sz w:val="22"/>
          <w:szCs w:val="22"/>
        </w:rPr>
        <w:t xml:space="preserve">that would best </w:t>
      </w:r>
      <w:r w:rsidR="00744E9D">
        <w:rPr>
          <w:sz w:val="22"/>
          <w:szCs w:val="22"/>
        </w:rPr>
        <w:t>measure</w:t>
      </w:r>
      <w:r w:rsidR="001E572B">
        <w:rPr>
          <w:sz w:val="22"/>
          <w:szCs w:val="22"/>
        </w:rPr>
        <w:t xml:space="preserve"> </w:t>
      </w:r>
      <w:r w:rsidR="0039087C">
        <w:rPr>
          <w:sz w:val="22"/>
          <w:szCs w:val="22"/>
        </w:rPr>
        <w:t>our</w:t>
      </w:r>
      <w:r w:rsidR="001E572B">
        <w:rPr>
          <w:sz w:val="22"/>
          <w:szCs w:val="22"/>
        </w:rPr>
        <w:t xml:space="preserve"> efforts </w:t>
      </w:r>
      <w:r w:rsidR="0039087C">
        <w:rPr>
          <w:sz w:val="22"/>
          <w:szCs w:val="22"/>
        </w:rPr>
        <w:t>at</w:t>
      </w:r>
      <w:r w:rsidR="001E572B">
        <w:rPr>
          <w:sz w:val="22"/>
          <w:szCs w:val="22"/>
        </w:rPr>
        <w:t xml:space="preserve"> meet</w:t>
      </w:r>
      <w:r w:rsidR="0039087C">
        <w:rPr>
          <w:sz w:val="22"/>
          <w:szCs w:val="22"/>
        </w:rPr>
        <w:t>ing department</w:t>
      </w:r>
      <w:r w:rsidR="001E572B">
        <w:rPr>
          <w:sz w:val="22"/>
          <w:szCs w:val="22"/>
        </w:rPr>
        <w:t xml:space="preserve"> learning objectives.</w:t>
      </w:r>
      <w:r w:rsidR="0039087C">
        <w:rPr>
          <w:sz w:val="22"/>
          <w:szCs w:val="22"/>
        </w:rPr>
        <w:t xml:space="preserve"> </w:t>
      </w:r>
    </w:p>
    <w:p w14:paraId="520C75B1" w14:textId="77777777" w:rsidR="0039087C" w:rsidRDefault="0039087C" w:rsidP="00C90F61">
      <w:pPr>
        <w:rPr>
          <w:sz w:val="22"/>
          <w:szCs w:val="22"/>
        </w:rPr>
      </w:pPr>
    </w:p>
    <w:p w14:paraId="430BFAC4" w14:textId="61774E04" w:rsidR="00EF57E3" w:rsidRDefault="004F0F02" w:rsidP="00C90F61">
      <w:pPr>
        <w:rPr>
          <w:sz w:val="22"/>
          <w:szCs w:val="22"/>
        </w:rPr>
      </w:pPr>
      <w:r>
        <w:rPr>
          <w:sz w:val="22"/>
          <w:szCs w:val="22"/>
        </w:rPr>
        <w:t xml:space="preserve">The survey was </w:t>
      </w:r>
      <w:r w:rsidR="0039087C">
        <w:rPr>
          <w:sz w:val="22"/>
          <w:szCs w:val="22"/>
        </w:rPr>
        <w:t>administ</w:t>
      </w:r>
      <w:r w:rsidR="005839A3">
        <w:rPr>
          <w:sz w:val="22"/>
          <w:szCs w:val="22"/>
        </w:rPr>
        <w:t xml:space="preserve">ered </w:t>
      </w:r>
      <w:r w:rsidR="00D805B5">
        <w:rPr>
          <w:sz w:val="22"/>
          <w:szCs w:val="22"/>
        </w:rPr>
        <w:t xml:space="preserve">in </w:t>
      </w:r>
      <w:r w:rsidR="005839A3">
        <w:rPr>
          <w:sz w:val="22"/>
          <w:szCs w:val="22"/>
        </w:rPr>
        <w:t xml:space="preserve">SOC 2000, </w:t>
      </w:r>
      <w:r w:rsidR="005839A3" w:rsidRPr="005839A3">
        <w:rPr>
          <w:i/>
          <w:sz w:val="22"/>
          <w:szCs w:val="22"/>
        </w:rPr>
        <w:t>Sociology Professional S</w:t>
      </w:r>
      <w:r w:rsidR="0039087C" w:rsidRPr="005839A3">
        <w:rPr>
          <w:i/>
          <w:sz w:val="22"/>
          <w:szCs w:val="22"/>
        </w:rPr>
        <w:t>eminar</w:t>
      </w:r>
      <w:r w:rsidR="0039087C">
        <w:rPr>
          <w:sz w:val="22"/>
          <w:szCs w:val="22"/>
        </w:rPr>
        <w:t>, and SOC 4900</w:t>
      </w:r>
      <w:r w:rsidR="005839A3">
        <w:rPr>
          <w:sz w:val="22"/>
          <w:szCs w:val="22"/>
        </w:rPr>
        <w:t xml:space="preserve">, </w:t>
      </w:r>
      <w:r w:rsidR="005839A3" w:rsidRPr="005839A3">
        <w:rPr>
          <w:i/>
          <w:sz w:val="22"/>
          <w:szCs w:val="22"/>
        </w:rPr>
        <w:t>Current I</w:t>
      </w:r>
      <w:r w:rsidR="0039087C" w:rsidRPr="005839A3">
        <w:rPr>
          <w:i/>
          <w:sz w:val="22"/>
          <w:szCs w:val="22"/>
        </w:rPr>
        <w:t>ssues</w:t>
      </w:r>
      <w:r w:rsidR="005839A3" w:rsidRPr="005839A3">
        <w:rPr>
          <w:i/>
          <w:sz w:val="22"/>
          <w:szCs w:val="22"/>
        </w:rPr>
        <w:t xml:space="preserve"> in Sociology</w:t>
      </w:r>
      <w:r>
        <w:rPr>
          <w:i/>
          <w:sz w:val="22"/>
          <w:szCs w:val="22"/>
        </w:rPr>
        <w:t xml:space="preserve"> </w:t>
      </w:r>
      <w:r w:rsidR="00D805B5">
        <w:rPr>
          <w:i/>
          <w:sz w:val="22"/>
          <w:szCs w:val="22"/>
        </w:rPr>
        <w:t xml:space="preserve">in the latter half of the </w:t>
      </w:r>
      <w:r>
        <w:rPr>
          <w:sz w:val="22"/>
          <w:szCs w:val="22"/>
        </w:rPr>
        <w:t>Fall 2016 and Spring 2017</w:t>
      </w:r>
      <w:r w:rsidR="00D805B5">
        <w:rPr>
          <w:sz w:val="22"/>
          <w:szCs w:val="22"/>
        </w:rPr>
        <w:t xml:space="preserve"> semesters</w:t>
      </w:r>
      <w:r w:rsidR="0039087C">
        <w:rPr>
          <w:sz w:val="22"/>
          <w:szCs w:val="22"/>
        </w:rPr>
        <w:t xml:space="preserve">. The professional seminar is a one credit class that serves as an introduction to the field </w:t>
      </w:r>
      <w:r w:rsidR="005839A3">
        <w:rPr>
          <w:sz w:val="22"/>
          <w:szCs w:val="22"/>
        </w:rPr>
        <w:t xml:space="preserve">of sociology, our department, the course of study in the major at EIU, and career </w:t>
      </w:r>
      <w:r w:rsidR="00744E9D">
        <w:rPr>
          <w:sz w:val="22"/>
          <w:szCs w:val="22"/>
        </w:rPr>
        <w:t xml:space="preserve">and graduate school </w:t>
      </w:r>
      <w:r w:rsidR="005839A3">
        <w:rPr>
          <w:sz w:val="22"/>
          <w:szCs w:val="22"/>
        </w:rPr>
        <w:t xml:space="preserve">opportunities for </w:t>
      </w:r>
      <w:r w:rsidR="00744E9D">
        <w:rPr>
          <w:sz w:val="22"/>
          <w:szCs w:val="22"/>
        </w:rPr>
        <w:t>sociology and anthropology students</w:t>
      </w:r>
      <w:r w:rsidR="005839A3">
        <w:rPr>
          <w:sz w:val="22"/>
          <w:szCs w:val="22"/>
        </w:rPr>
        <w:t>. Most students take this course when they are freshmen or sophomores</w:t>
      </w:r>
      <w:r w:rsidR="00744E9D">
        <w:rPr>
          <w:sz w:val="22"/>
          <w:szCs w:val="22"/>
        </w:rPr>
        <w:t xml:space="preserve">, </w:t>
      </w:r>
      <w:r w:rsidR="00C56B31">
        <w:rPr>
          <w:sz w:val="22"/>
          <w:szCs w:val="22"/>
        </w:rPr>
        <w:t>and enrolled</w:t>
      </w:r>
      <w:r w:rsidR="00744E9D">
        <w:rPr>
          <w:sz w:val="22"/>
          <w:szCs w:val="22"/>
        </w:rPr>
        <w:t xml:space="preserve"> s</w:t>
      </w:r>
      <w:r w:rsidR="00C56B31">
        <w:rPr>
          <w:sz w:val="22"/>
          <w:szCs w:val="22"/>
        </w:rPr>
        <w:t xml:space="preserve">tudents must be </w:t>
      </w:r>
      <w:r w:rsidR="00FF48D8">
        <w:rPr>
          <w:sz w:val="22"/>
          <w:szCs w:val="22"/>
        </w:rPr>
        <w:t>majors</w:t>
      </w:r>
      <w:r w:rsidR="00C56B31">
        <w:rPr>
          <w:sz w:val="22"/>
          <w:szCs w:val="22"/>
        </w:rPr>
        <w:t xml:space="preserve"> in sociology</w:t>
      </w:r>
      <w:r w:rsidR="00FF48D8">
        <w:rPr>
          <w:sz w:val="22"/>
          <w:szCs w:val="22"/>
        </w:rPr>
        <w:t xml:space="preserve">. The </w:t>
      </w:r>
      <w:r w:rsidR="005839A3">
        <w:rPr>
          <w:sz w:val="22"/>
          <w:szCs w:val="22"/>
        </w:rPr>
        <w:t xml:space="preserve">only prerequisite </w:t>
      </w:r>
      <w:r w:rsidR="00FF48D8">
        <w:rPr>
          <w:sz w:val="22"/>
          <w:szCs w:val="22"/>
        </w:rPr>
        <w:t xml:space="preserve">for the course </w:t>
      </w:r>
      <w:r w:rsidR="005839A3">
        <w:rPr>
          <w:sz w:val="22"/>
          <w:szCs w:val="22"/>
        </w:rPr>
        <w:t xml:space="preserve">is </w:t>
      </w:r>
      <w:r w:rsidR="005839A3" w:rsidRPr="005839A3">
        <w:rPr>
          <w:i/>
          <w:sz w:val="22"/>
          <w:szCs w:val="22"/>
        </w:rPr>
        <w:t>Introduction to Sociology</w:t>
      </w:r>
      <w:r w:rsidR="005839A3">
        <w:rPr>
          <w:sz w:val="22"/>
          <w:szCs w:val="22"/>
        </w:rPr>
        <w:t xml:space="preserve">. </w:t>
      </w:r>
      <w:r w:rsidR="005839A3" w:rsidRPr="005839A3">
        <w:rPr>
          <w:i/>
          <w:sz w:val="22"/>
          <w:szCs w:val="22"/>
        </w:rPr>
        <w:t>Current Issues</w:t>
      </w:r>
      <w:r w:rsidR="005839A3">
        <w:rPr>
          <w:sz w:val="22"/>
          <w:szCs w:val="22"/>
        </w:rPr>
        <w:t xml:space="preserve"> is </w:t>
      </w:r>
      <w:r w:rsidR="00744E9D">
        <w:rPr>
          <w:sz w:val="22"/>
          <w:szCs w:val="22"/>
        </w:rPr>
        <w:t>a three credit</w:t>
      </w:r>
      <w:r w:rsidR="005839A3">
        <w:rPr>
          <w:sz w:val="22"/>
          <w:szCs w:val="22"/>
        </w:rPr>
        <w:t xml:space="preserve"> senior “capstone” course.</w:t>
      </w:r>
      <w:r w:rsidR="009743C8">
        <w:rPr>
          <w:sz w:val="22"/>
          <w:szCs w:val="22"/>
        </w:rPr>
        <w:t xml:space="preserve"> It is also only open to </w:t>
      </w:r>
      <w:r w:rsidR="00D853F2">
        <w:rPr>
          <w:sz w:val="22"/>
          <w:szCs w:val="22"/>
        </w:rPr>
        <w:t>s</w:t>
      </w:r>
      <w:r w:rsidR="009743C8">
        <w:rPr>
          <w:sz w:val="22"/>
          <w:szCs w:val="22"/>
        </w:rPr>
        <w:t xml:space="preserve">ociology </w:t>
      </w:r>
      <w:r w:rsidR="00883378">
        <w:rPr>
          <w:sz w:val="22"/>
          <w:szCs w:val="22"/>
        </w:rPr>
        <w:t xml:space="preserve">majors. Additionally, to enroll, </w:t>
      </w:r>
      <w:r w:rsidR="009743C8">
        <w:rPr>
          <w:sz w:val="22"/>
          <w:szCs w:val="22"/>
        </w:rPr>
        <w:t xml:space="preserve">students must be seniors and have completed our eight core courses with a cumulative GPA of at least </w:t>
      </w:r>
      <w:r w:rsidR="00744E9D">
        <w:rPr>
          <w:sz w:val="22"/>
          <w:szCs w:val="22"/>
        </w:rPr>
        <w:t xml:space="preserve">a </w:t>
      </w:r>
      <w:r w:rsidR="009743C8">
        <w:rPr>
          <w:sz w:val="22"/>
          <w:szCs w:val="22"/>
        </w:rPr>
        <w:t>2.0</w:t>
      </w:r>
      <w:r w:rsidR="00C56B31">
        <w:rPr>
          <w:sz w:val="22"/>
          <w:szCs w:val="22"/>
        </w:rPr>
        <w:t xml:space="preserve"> in the core cluster</w:t>
      </w:r>
      <w:r w:rsidR="009743C8">
        <w:rPr>
          <w:sz w:val="22"/>
          <w:szCs w:val="22"/>
        </w:rPr>
        <w:t xml:space="preserve">. </w:t>
      </w:r>
      <w:r w:rsidR="00C56B31" w:rsidRPr="00C56B31">
        <w:rPr>
          <w:i/>
          <w:sz w:val="22"/>
          <w:szCs w:val="22"/>
        </w:rPr>
        <w:t>Current Issues</w:t>
      </w:r>
      <w:r w:rsidR="00883378">
        <w:rPr>
          <w:sz w:val="22"/>
          <w:szCs w:val="22"/>
        </w:rPr>
        <w:t xml:space="preserve"> asks students to bring t</w:t>
      </w:r>
      <w:r w:rsidR="00C56B31">
        <w:rPr>
          <w:sz w:val="22"/>
          <w:szCs w:val="22"/>
        </w:rPr>
        <w:t xml:space="preserve">o bear on current social issues, critical thinking skillsets and accrued knowledge from their coursework in </w:t>
      </w:r>
      <w:r w:rsidR="00FF48D8">
        <w:rPr>
          <w:sz w:val="22"/>
          <w:szCs w:val="22"/>
        </w:rPr>
        <w:t>the major</w:t>
      </w:r>
      <w:r w:rsidR="00883378">
        <w:rPr>
          <w:sz w:val="22"/>
          <w:szCs w:val="22"/>
        </w:rPr>
        <w:t xml:space="preserve">. Students taking these courses </w:t>
      </w:r>
      <w:r w:rsidR="005F64B5">
        <w:rPr>
          <w:sz w:val="22"/>
          <w:szCs w:val="22"/>
        </w:rPr>
        <w:t>were</w:t>
      </w:r>
      <w:r w:rsidR="00883378">
        <w:rPr>
          <w:sz w:val="22"/>
          <w:szCs w:val="22"/>
        </w:rPr>
        <w:t xml:space="preserve"> provided a</w:t>
      </w:r>
      <w:r w:rsidR="004D45D6">
        <w:rPr>
          <w:sz w:val="22"/>
          <w:szCs w:val="22"/>
        </w:rPr>
        <w:t xml:space="preserve">n electronic link to the survey and were asked to complete it outside of class. </w:t>
      </w:r>
      <w:r w:rsidR="00637EFC">
        <w:rPr>
          <w:sz w:val="22"/>
          <w:szCs w:val="22"/>
        </w:rPr>
        <w:t xml:space="preserve"> </w:t>
      </w:r>
      <w:r w:rsidR="004D45D6" w:rsidRPr="00637EFC">
        <w:rPr>
          <w:sz w:val="22"/>
          <w:szCs w:val="22"/>
        </w:rPr>
        <w:t xml:space="preserve">Of the </w:t>
      </w:r>
      <w:r w:rsidR="00637EFC" w:rsidRPr="00637EFC">
        <w:rPr>
          <w:sz w:val="22"/>
          <w:szCs w:val="22"/>
        </w:rPr>
        <w:t>71</w:t>
      </w:r>
      <w:r w:rsidR="004D45D6" w:rsidRPr="00637EFC">
        <w:rPr>
          <w:sz w:val="22"/>
          <w:szCs w:val="22"/>
        </w:rPr>
        <w:t xml:space="preserve"> students enrolled in t</w:t>
      </w:r>
      <w:r w:rsidRPr="00637EFC">
        <w:rPr>
          <w:sz w:val="22"/>
          <w:szCs w:val="22"/>
        </w:rPr>
        <w:t>wo sections of SOC 2000, only 35</w:t>
      </w:r>
      <w:r w:rsidR="004D45D6" w:rsidRPr="00637EFC">
        <w:rPr>
          <w:sz w:val="22"/>
          <w:szCs w:val="22"/>
        </w:rPr>
        <w:t xml:space="preserve"> completed the survey</w:t>
      </w:r>
      <w:r w:rsidR="000D50F2" w:rsidRPr="00637EFC">
        <w:rPr>
          <w:sz w:val="22"/>
          <w:szCs w:val="22"/>
        </w:rPr>
        <w:t xml:space="preserve"> (</w:t>
      </w:r>
      <w:r w:rsidR="00637EFC" w:rsidRPr="00637EFC">
        <w:rPr>
          <w:sz w:val="22"/>
          <w:szCs w:val="22"/>
        </w:rPr>
        <w:t>49</w:t>
      </w:r>
      <w:r w:rsidR="004D45D6" w:rsidRPr="00637EFC">
        <w:rPr>
          <w:sz w:val="22"/>
          <w:szCs w:val="22"/>
        </w:rPr>
        <w:t>%</w:t>
      </w:r>
      <w:r w:rsidRPr="00637EFC">
        <w:rPr>
          <w:sz w:val="22"/>
          <w:szCs w:val="22"/>
        </w:rPr>
        <w:t>). In SOC 4900, 44</w:t>
      </w:r>
      <w:r w:rsidR="000D50F2" w:rsidRPr="00637EFC">
        <w:rPr>
          <w:sz w:val="22"/>
          <w:szCs w:val="22"/>
        </w:rPr>
        <w:t xml:space="preserve"> of the </w:t>
      </w:r>
      <w:r w:rsidR="00637EFC" w:rsidRPr="00637EFC">
        <w:rPr>
          <w:sz w:val="22"/>
          <w:szCs w:val="22"/>
        </w:rPr>
        <w:t>60</w:t>
      </w:r>
      <w:r w:rsidR="000D50F2" w:rsidRPr="00637EFC">
        <w:rPr>
          <w:sz w:val="22"/>
          <w:szCs w:val="22"/>
        </w:rPr>
        <w:t xml:space="preserve"> students </w:t>
      </w:r>
      <w:r w:rsidR="00FF48D8" w:rsidRPr="00637EFC">
        <w:rPr>
          <w:sz w:val="22"/>
          <w:szCs w:val="22"/>
        </w:rPr>
        <w:t xml:space="preserve">enrolled </w:t>
      </w:r>
      <w:r w:rsidR="000D50F2" w:rsidRPr="00637EFC">
        <w:rPr>
          <w:sz w:val="22"/>
          <w:szCs w:val="22"/>
        </w:rPr>
        <w:t xml:space="preserve">in the </w:t>
      </w:r>
      <w:r w:rsidRPr="00637EFC">
        <w:rPr>
          <w:sz w:val="22"/>
          <w:szCs w:val="22"/>
        </w:rPr>
        <w:t>two</w:t>
      </w:r>
      <w:r w:rsidR="000D50F2" w:rsidRPr="00637EFC">
        <w:rPr>
          <w:sz w:val="22"/>
          <w:szCs w:val="22"/>
        </w:rPr>
        <w:t xml:space="preserve"> sections of the </w:t>
      </w:r>
      <w:r w:rsidR="00FF48D8" w:rsidRPr="00637EFC">
        <w:rPr>
          <w:sz w:val="22"/>
          <w:szCs w:val="22"/>
        </w:rPr>
        <w:t>course</w:t>
      </w:r>
      <w:r w:rsidR="000D50F2" w:rsidRPr="00637EFC">
        <w:rPr>
          <w:sz w:val="22"/>
          <w:szCs w:val="22"/>
        </w:rPr>
        <w:t xml:space="preserve"> completed the survey</w:t>
      </w:r>
      <w:r w:rsidR="00DC3FA7" w:rsidRPr="00637EFC">
        <w:rPr>
          <w:sz w:val="22"/>
          <w:szCs w:val="22"/>
        </w:rPr>
        <w:t xml:space="preserve"> (</w:t>
      </w:r>
      <w:r w:rsidR="00637EFC" w:rsidRPr="00637EFC">
        <w:rPr>
          <w:sz w:val="22"/>
          <w:szCs w:val="22"/>
        </w:rPr>
        <w:t>73</w:t>
      </w:r>
      <w:r w:rsidR="00DC3FA7" w:rsidRPr="00637EFC">
        <w:rPr>
          <w:sz w:val="22"/>
          <w:szCs w:val="22"/>
        </w:rPr>
        <w:t>%).</w:t>
      </w:r>
      <w:r w:rsidR="00637EFC">
        <w:rPr>
          <w:sz w:val="22"/>
          <w:szCs w:val="22"/>
        </w:rPr>
        <w:t xml:space="preserve">  Response rates for this year’s assessment survey are much better than last year (SOC 2000: 28% in AY 15-16 vs. 49% in AY 16-17, SOC 4900: 51% in AY 15-16 vs. 73% in AY 16-17)</w:t>
      </w:r>
      <w:r w:rsidR="001B7FC0">
        <w:rPr>
          <w:sz w:val="22"/>
          <w:szCs w:val="22"/>
        </w:rPr>
        <w:t>.</w:t>
      </w:r>
    </w:p>
    <w:p w14:paraId="3F4D5CBF" w14:textId="77777777" w:rsidR="00883378" w:rsidRDefault="00883378" w:rsidP="00C90F61">
      <w:pPr>
        <w:rPr>
          <w:sz w:val="22"/>
          <w:szCs w:val="22"/>
        </w:rPr>
      </w:pPr>
    </w:p>
    <w:p w14:paraId="7B942601" w14:textId="77777777" w:rsidR="00DC3FA7" w:rsidRDefault="0031771D">
      <w:pPr>
        <w:tabs>
          <w:tab w:val="left" w:pos="1740"/>
        </w:tabs>
        <w:rPr>
          <w:sz w:val="20"/>
          <w:szCs w:val="20"/>
        </w:rPr>
      </w:pPr>
      <w:r>
        <w:rPr>
          <w:b/>
          <w:bCs/>
        </w:rPr>
        <w:t>PART T</w:t>
      </w:r>
      <w:r w:rsidR="00CC127E">
        <w:rPr>
          <w:b/>
          <w:bCs/>
        </w:rPr>
        <w:t>HREE</w:t>
      </w:r>
    </w:p>
    <w:p w14:paraId="15FC514A" w14:textId="7D82F084" w:rsidR="00883378" w:rsidRPr="00DC3FA7" w:rsidRDefault="00797186">
      <w:pPr>
        <w:tabs>
          <w:tab w:val="left" w:pos="1740"/>
        </w:tabs>
        <w:rPr>
          <w:sz w:val="20"/>
          <w:szCs w:val="20"/>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In light of what you have learned through your assessment efforts this year and in past years, what are your plans for the future?</w:t>
      </w:r>
    </w:p>
    <w:p w14:paraId="0BC73557" w14:textId="77777777" w:rsidR="00883378" w:rsidRDefault="00883378">
      <w:pPr>
        <w:tabs>
          <w:tab w:val="left" w:pos="1740"/>
        </w:tabs>
        <w:rPr>
          <w:sz w:val="22"/>
          <w:szCs w:val="22"/>
        </w:rPr>
      </w:pPr>
    </w:p>
    <w:p w14:paraId="31BD913E" w14:textId="715F13DC" w:rsidR="0076678E" w:rsidRDefault="00966BC1">
      <w:pPr>
        <w:tabs>
          <w:tab w:val="left" w:pos="1740"/>
        </w:tabs>
        <w:rPr>
          <w:sz w:val="22"/>
          <w:szCs w:val="22"/>
        </w:rPr>
      </w:pPr>
      <w:r>
        <w:rPr>
          <w:sz w:val="22"/>
          <w:szCs w:val="22"/>
        </w:rPr>
        <w:t xml:space="preserve">We had two major </w:t>
      </w:r>
      <w:r w:rsidR="0076678E">
        <w:rPr>
          <w:sz w:val="22"/>
          <w:szCs w:val="22"/>
        </w:rPr>
        <w:t>concerns</w:t>
      </w:r>
      <w:r>
        <w:rPr>
          <w:sz w:val="22"/>
          <w:szCs w:val="22"/>
        </w:rPr>
        <w:t xml:space="preserve"> after the initial survey:</w:t>
      </w:r>
      <w:r w:rsidR="0076678E">
        <w:rPr>
          <w:sz w:val="22"/>
          <w:szCs w:val="22"/>
        </w:rPr>
        <w:t xml:space="preserve"> the low response rate</w:t>
      </w:r>
      <w:r>
        <w:rPr>
          <w:sz w:val="22"/>
          <w:szCs w:val="22"/>
        </w:rPr>
        <w:t xml:space="preserve"> and </w:t>
      </w:r>
      <w:r w:rsidR="005B1132">
        <w:rPr>
          <w:sz w:val="22"/>
          <w:szCs w:val="22"/>
        </w:rPr>
        <w:t xml:space="preserve">the </w:t>
      </w:r>
      <w:r>
        <w:rPr>
          <w:sz w:val="22"/>
          <w:szCs w:val="22"/>
        </w:rPr>
        <w:t>low scores</w:t>
      </w:r>
      <w:r w:rsidR="005B1132">
        <w:rPr>
          <w:sz w:val="22"/>
          <w:szCs w:val="22"/>
        </w:rPr>
        <w:t>, particularly i</w:t>
      </w:r>
      <w:r>
        <w:rPr>
          <w:sz w:val="22"/>
          <w:szCs w:val="22"/>
        </w:rPr>
        <w:t xml:space="preserve">n the areas of theory, research methods and statistics. </w:t>
      </w:r>
      <w:r w:rsidR="0076678E">
        <w:rPr>
          <w:sz w:val="22"/>
          <w:szCs w:val="22"/>
        </w:rPr>
        <w:t>In Spring 2017 we experimented with having students take the survey on their cellphones during class.  The approached proved successful at getting students to complete the survey</w:t>
      </w:r>
      <w:r w:rsidR="005B1132">
        <w:rPr>
          <w:sz w:val="22"/>
          <w:szCs w:val="22"/>
        </w:rPr>
        <w:t>,</w:t>
      </w:r>
      <w:r w:rsidR="0076678E">
        <w:rPr>
          <w:sz w:val="22"/>
          <w:szCs w:val="22"/>
        </w:rPr>
        <w:t xml:space="preserve"> and the students feedback was generally favorable.  </w:t>
      </w:r>
      <w:r>
        <w:rPr>
          <w:sz w:val="22"/>
          <w:szCs w:val="22"/>
        </w:rPr>
        <w:t xml:space="preserve">In terms of the low scores, we decided to hold off making any major changes to the questionnaire since we only had one year of results. </w:t>
      </w:r>
      <w:r w:rsidR="0076678E">
        <w:rPr>
          <w:sz w:val="22"/>
          <w:szCs w:val="22"/>
        </w:rPr>
        <w:t xml:space="preserve">We plan to discuss </w:t>
      </w:r>
      <w:r>
        <w:rPr>
          <w:sz w:val="22"/>
          <w:szCs w:val="22"/>
        </w:rPr>
        <w:t>both issues further at our</w:t>
      </w:r>
      <w:r w:rsidR="0076678E">
        <w:rPr>
          <w:sz w:val="22"/>
          <w:szCs w:val="22"/>
        </w:rPr>
        <w:t xml:space="preserve"> faculty summer retreat.</w:t>
      </w:r>
      <w:r>
        <w:rPr>
          <w:sz w:val="22"/>
          <w:szCs w:val="22"/>
        </w:rPr>
        <w:t xml:space="preserve">  </w:t>
      </w:r>
    </w:p>
    <w:p w14:paraId="2154C510" w14:textId="32ECECDC" w:rsidR="00744E9D" w:rsidRDefault="00744E9D">
      <w:pPr>
        <w:tabs>
          <w:tab w:val="left" w:pos="1740"/>
        </w:tabs>
        <w:rPr>
          <w:sz w:val="22"/>
          <w:szCs w:val="22"/>
        </w:rPr>
      </w:pPr>
    </w:p>
    <w:p w14:paraId="7340392D" w14:textId="77777777" w:rsidR="006274A0" w:rsidRDefault="00BD7AA3">
      <w:pPr>
        <w:tabs>
          <w:tab w:val="left" w:pos="1740"/>
        </w:tabs>
        <w:rPr>
          <w:sz w:val="22"/>
          <w:szCs w:val="22"/>
        </w:rPr>
      </w:pPr>
      <w:r>
        <w:rPr>
          <w:sz w:val="22"/>
          <w:szCs w:val="22"/>
        </w:rPr>
        <w:t>A</w:t>
      </w:r>
      <w:r w:rsidR="007C7B4D">
        <w:rPr>
          <w:sz w:val="22"/>
          <w:szCs w:val="22"/>
        </w:rPr>
        <w:t xml:space="preserve">s </w:t>
      </w:r>
      <w:r w:rsidR="00966BC1">
        <w:rPr>
          <w:sz w:val="22"/>
          <w:szCs w:val="22"/>
        </w:rPr>
        <w:t xml:space="preserve">expected, the results of the survey show a higher </w:t>
      </w:r>
      <w:r w:rsidR="007C7B4D">
        <w:rPr>
          <w:sz w:val="22"/>
          <w:szCs w:val="22"/>
        </w:rPr>
        <w:t xml:space="preserve">correct response rate </w:t>
      </w:r>
      <w:r w:rsidR="00D3006B">
        <w:rPr>
          <w:sz w:val="22"/>
          <w:szCs w:val="22"/>
        </w:rPr>
        <w:t xml:space="preserve">for </w:t>
      </w:r>
      <w:r w:rsidR="00966BC1">
        <w:rPr>
          <w:sz w:val="22"/>
          <w:szCs w:val="22"/>
        </w:rPr>
        <w:t>students enrolled in SOC 4900</w:t>
      </w:r>
      <w:r w:rsidR="00D3006B">
        <w:rPr>
          <w:sz w:val="22"/>
          <w:szCs w:val="22"/>
        </w:rPr>
        <w:t xml:space="preserve"> compared to </w:t>
      </w:r>
      <w:r w:rsidR="00966BC1">
        <w:rPr>
          <w:sz w:val="22"/>
          <w:szCs w:val="22"/>
        </w:rPr>
        <w:t>students enrolled in SOC 2000 across all six question categories</w:t>
      </w:r>
      <w:r w:rsidR="007C7B4D">
        <w:rPr>
          <w:sz w:val="22"/>
          <w:szCs w:val="22"/>
        </w:rPr>
        <w:t xml:space="preserve">. </w:t>
      </w:r>
      <w:r w:rsidR="00966BC1">
        <w:rPr>
          <w:sz w:val="22"/>
          <w:szCs w:val="22"/>
        </w:rPr>
        <w:t xml:space="preserve"> However, </w:t>
      </w:r>
      <w:r w:rsidR="00A51178">
        <w:rPr>
          <w:sz w:val="22"/>
          <w:szCs w:val="22"/>
        </w:rPr>
        <w:t xml:space="preserve">students failed to meet the 70% benchmark in several categories.  Students in SOC 4900 </w:t>
      </w:r>
      <w:r w:rsidR="00A51178">
        <w:rPr>
          <w:sz w:val="22"/>
          <w:szCs w:val="22"/>
        </w:rPr>
        <w:lastRenderedPageBreak/>
        <w:t xml:space="preserve">exceeded the 70% benchmark on 3 of the 6 categories (social inquiry, the sociological imagination and diversity), while students in SOC 2000 exceeded the 70% benchmark in the diversity category only.  </w:t>
      </w:r>
      <w:r w:rsidR="00534254">
        <w:rPr>
          <w:sz w:val="22"/>
          <w:szCs w:val="22"/>
        </w:rPr>
        <w:t>While</w:t>
      </w:r>
      <w:r w:rsidR="006274A0">
        <w:rPr>
          <w:sz w:val="22"/>
          <w:szCs w:val="22"/>
        </w:rPr>
        <w:t xml:space="preserve"> we</w:t>
      </w:r>
      <w:r w:rsidR="00534254">
        <w:rPr>
          <w:sz w:val="22"/>
          <w:szCs w:val="22"/>
        </w:rPr>
        <w:t xml:space="preserve"> expect students enrolled in SOC 2000 to perform less well on material often covered in-depth in 3000 and 4000-level classes (theory, research methods, statistics)</w:t>
      </w:r>
      <w:r w:rsidR="006274A0">
        <w:rPr>
          <w:sz w:val="22"/>
          <w:szCs w:val="22"/>
        </w:rPr>
        <w:t>, we are surprised by</w:t>
      </w:r>
      <w:r w:rsidR="00534254">
        <w:rPr>
          <w:sz w:val="22"/>
          <w:szCs w:val="22"/>
        </w:rPr>
        <w:t xml:space="preserve"> the overall low scores in basic definitions (55%) </w:t>
      </w:r>
      <w:r w:rsidR="006274A0">
        <w:rPr>
          <w:sz w:val="22"/>
          <w:szCs w:val="22"/>
        </w:rPr>
        <w:t xml:space="preserve">and the sociological imagination (58%) as these include material covered in the introductory courses.  </w:t>
      </w:r>
    </w:p>
    <w:p w14:paraId="4E2078AD" w14:textId="77777777" w:rsidR="006274A0" w:rsidRDefault="006274A0">
      <w:pPr>
        <w:tabs>
          <w:tab w:val="left" w:pos="1740"/>
        </w:tabs>
        <w:rPr>
          <w:sz w:val="22"/>
          <w:szCs w:val="22"/>
        </w:rPr>
      </w:pPr>
    </w:p>
    <w:p w14:paraId="47BD8A7C" w14:textId="38C1E23A" w:rsidR="006D322D" w:rsidRDefault="006274A0">
      <w:pPr>
        <w:tabs>
          <w:tab w:val="left" w:pos="1740"/>
        </w:tabs>
        <w:rPr>
          <w:sz w:val="22"/>
          <w:szCs w:val="22"/>
        </w:rPr>
      </w:pPr>
      <w:r>
        <w:rPr>
          <w:sz w:val="22"/>
          <w:szCs w:val="22"/>
        </w:rPr>
        <w:t>It is also important to note</w:t>
      </w:r>
      <w:r w:rsidR="005B1132">
        <w:rPr>
          <w:sz w:val="22"/>
          <w:szCs w:val="22"/>
        </w:rPr>
        <w:t>, however, that there was</w:t>
      </w:r>
      <w:r>
        <w:rPr>
          <w:sz w:val="22"/>
          <w:szCs w:val="22"/>
        </w:rPr>
        <w:t xml:space="preserve"> substantial variation within categories.  In the basic definitions category, correct response scores ranged from 18% to 85% for students in SOC 2000 and 30% to 90% for students in SOC 4900.  Similarly, in sociological theory scores ranged from 36% to 91% for SOC 2000 and 54% to 88% in SOC 4900. This pattern was consistent across the first five categories. While students in SOC 4900 generally scored higher, both SOC 2000 and SOC 4900 tended to score low on the same set of questions within each category. </w:t>
      </w:r>
      <w:r w:rsidR="00D753A5">
        <w:rPr>
          <w:sz w:val="22"/>
          <w:szCs w:val="22"/>
        </w:rPr>
        <w:t xml:space="preserve"> The category averages, then, are likely skewed lower due to poor responses on individual questions. This is a noteworthy pattern and cause for concern that we will discuss further at the faculty retreat.</w:t>
      </w:r>
      <w:r w:rsidR="00FB3167">
        <w:rPr>
          <w:sz w:val="22"/>
          <w:szCs w:val="22"/>
        </w:rPr>
        <w:t xml:space="preserve"> </w:t>
      </w:r>
      <w:r w:rsidR="00DC3FA7">
        <w:rPr>
          <w:sz w:val="22"/>
          <w:szCs w:val="22"/>
        </w:rPr>
        <w:t>We could plausibly address this by</w:t>
      </w:r>
      <w:r w:rsidR="006F6A4D">
        <w:rPr>
          <w:sz w:val="22"/>
          <w:szCs w:val="22"/>
        </w:rPr>
        <w:t xml:space="preserve"> revising individual questions or</w:t>
      </w:r>
      <w:r w:rsidR="00FB3167">
        <w:rPr>
          <w:sz w:val="22"/>
          <w:szCs w:val="22"/>
        </w:rPr>
        <w:t xml:space="preserve"> target</w:t>
      </w:r>
      <w:r w:rsidR="00DC3FA7">
        <w:rPr>
          <w:sz w:val="22"/>
          <w:szCs w:val="22"/>
        </w:rPr>
        <w:t>ing</w:t>
      </w:r>
      <w:r w:rsidR="00FB3167">
        <w:rPr>
          <w:sz w:val="22"/>
          <w:szCs w:val="22"/>
        </w:rPr>
        <w:t xml:space="preserve"> specific concepts and themes that students are struggling with for improvement. </w:t>
      </w:r>
      <w:r w:rsidR="00637EFC">
        <w:rPr>
          <w:sz w:val="22"/>
          <w:szCs w:val="22"/>
        </w:rPr>
        <w:t xml:space="preserve"> We are also considering a strategy that would allow us to differentiate between those students meeting minim</w:t>
      </w:r>
      <w:r w:rsidR="003604B7">
        <w:rPr>
          <w:sz w:val="22"/>
          <w:szCs w:val="22"/>
        </w:rPr>
        <w:t>um</w:t>
      </w:r>
      <w:r w:rsidR="00637EFC">
        <w:rPr>
          <w:sz w:val="22"/>
          <w:szCs w:val="22"/>
        </w:rPr>
        <w:t xml:space="preserve"> expectations versus students that have exceeded expectations. </w:t>
      </w:r>
    </w:p>
    <w:p w14:paraId="4D768C8A" w14:textId="77777777" w:rsidR="00FB3167" w:rsidRDefault="00FB3167">
      <w:pPr>
        <w:tabs>
          <w:tab w:val="left" w:pos="1740"/>
        </w:tabs>
        <w:rPr>
          <w:sz w:val="22"/>
          <w:szCs w:val="22"/>
        </w:rPr>
      </w:pPr>
    </w:p>
    <w:p w14:paraId="57FA6DA3" w14:textId="1B11BE8C" w:rsidR="00FB3167" w:rsidRDefault="00BA28D1">
      <w:pPr>
        <w:tabs>
          <w:tab w:val="left" w:pos="1740"/>
        </w:tabs>
        <w:rPr>
          <w:sz w:val="22"/>
          <w:szCs w:val="22"/>
        </w:rPr>
      </w:pPr>
      <w:r>
        <w:rPr>
          <w:sz w:val="22"/>
          <w:szCs w:val="22"/>
        </w:rPr>
        <w:t xml:space="preserve">The assessment committee will share the results </w:t>
      </w:r>
      <w:r w:rsidR="003604B7">
        <w:rPr>
          <w:sz w:val="22"/>
          <w:szCs w:val="22"/>
        </w:rPr>
        <w:t xml:space="preserve">of </w:t>
      </w:r>
      <w:r>
        <w:rPr>
          <w:sz w:val="22"/>
          <w:szCs w:val="22"/>
        </w:rPr>
        <w:t xml:space="preserve">the assessment </w:t>
      </w:r>
      <w:r w:rsidR="003604B7">
        <w:rPr>
          <w:sz w:val="22"/>
          <w:szCs w:val="22"/>
        </w:rPr>
        <w:t xml:space="preserve">survey </w:t>
      </w:r>
      <w:r>
        <w:rPr>
          <w:sz w:val="22"/>
          <w:szCs w:val="22"/>
        </w:rPr>
        <w:t>and work with faculty to</w:t>
      </w:r>
      <w:r w:rsidR="00E10CE1">
        <w:rPr>
          <w:sz w:val="22"/>
          <w:szCs w:val="22"/>
        </w:rPr>
        <w:t xml:space="preserve"> formulate strategies </w:t>
      </w:r>
      <w:r w:rsidR="00943075">
        <w:rPr>
          <w:sz w:val="22"/>
          <w:szCs w:val="22"/>
        </w:rPr>
        <w:t>for</w:t>
      </w:r>
      <w:r>
        <w:rPr>
          <w:sz w:val="22"/>
          <w:szCs w:val="22"/>
        </w:rPr>
        <w:t xml:space="preserve"> meet</w:t>
      </w:r>
      <w:r w:rsidR="00943075">
        <w:rPr>
          <w:sz w:val="22"/>
          <w:szCs w:val="22"/>
        </w:rPr>
        <w:t>ing</w:t>
      </w:r>
      <w:r>
        <w:rPr>
          <w:sz w:val="22"/>
          <w:szCs w:val="22"/>
        </w:rPr>
        <w:t xml:space="preserve"> learning objectives </w:t>
      </w:r>
      <w:r w:rsidR="00EF7E68">
        <w:rPr>
          <w:sz w:val="22"/>
          <w:szCs w:val="22"/>
        </w:rPr>
        <w:t>at our next faculty retreat</w:t>
      </w:r>
      <w:r w:rsidR="00DC3FA7">
        <w:rPr>
          <w:sz w:val="22"/>
          <w:szCs w:val="22"/>
        </w:rPr>
        <w:t xml:space="preserve"> (late summer 201</w:t>
      </w:r>
      <w:r w:rsidR="006F6A4D">
        <w:rPr>
          <w:sz w:val="22"/>
          <w:szCs w:val="22"/>
        </w:rPr>
        <w:t>7</w:t>
      </w:r>
      <w:r w:rsidR="00DC3FA7">
        <w:rPr>
          <w:sz w:val="22"/>
          <w:szCs w:val="22"/>
        </w:rPr>
        <w:t>)</w:t>
      </w:r>
      <w:r w:rsidR="00EF7E68">
        <w:rPr>
          <w:sz w:val="22"/>
          <w:szCs w:val="22"/>
        </w:rPr>
        <w:t>.</w:t>
      </w:r>
      <w:r>
        <w:rPr>
          <w:sz w:val="22"/>
          <w:szCs w:val="22"/>
        </w:rPr>
        <w:t xml:space="preserve"> </w:t>
      </w:r>
      <w:r w:rsidR="003604B7">
        <w:rPr>
          <w:sz w:val="22"/>
          <w:szCs w:val="22"/>
        </w:rPr>
        <w:t xml:space="preserve">  In fact, a review of our assessment efforts and strategies to use this information to improve student learning, instruction, and our curriculum is a regular agenda item at our annual faculty retreat each August.  </w:t>
      </w:r>
    </w:p>
    <w:p w14:paraId="3D4CE872" w14:textId="77777777" w:rsidR="00FB3167" w:rsidRDefault="00FB3167">
      <w:pPr>
        <w:tabs>
          <w:tab w:val="left" w:pos="1740"/>
        </w:tabs>
        <w:rPr>
          <w:sz w:val="22"/>
          <w:szCs w:val="22"/>
        </w:rPr>
      </w:pPr>
    </w:p>
    <w:p w14:paraId="156BF5BE" w14:textId="77777777" w:rsidR="003604B7" w:rsidRDefault="003604B7">
      <w:pPr>
        <w:tabs>
          <w:tab w:val="left" w:pos="1740"/>
        </w:tabs>
        <w:rPr>
          <w:b/>
          <w:bCs/>
        </w:rPr>
      </w:pPr>
    </w:p>
    <w:p w14:paraId="60AB4C13" w14:textId="77777777" w:rsidR="003604B7" w:rsidRDefault="003604B7">
      <w:pPr>
        <w:tabs>
          <w:tab w:val="left" w:pos="1740"/>
        </w:tabs>
        <w:rPr>
          <w:b/>
          <w:bCs/>
        </w:rPr>
      </w:pPr>
    </w:p>
    <w:p w14:paraId="5A83EB69" w14:textId="77777777" w:rsidR="003604B7" w:rsidRDefault="003604B7">
      <w:pPr>
        <w:tabs>
          <w:tab w:val="left" w:pos="1740"/>
        </w:tabs>
        <w:rPr>
          <w:b/>
          <w:bCs/>
        </w:rPr>
      </w:pPr>
    </w:p>
    <w:p w14:paraId="01F848DB" w14:textId="77777777" w:rsidR="003604B7" w:rsidRDefault="003604B7">
      <w:pPr>
        <w:tabs>
          <w:tab w:val="left" w:pos="1740"/>
        </w:tabs>
        <w:rPr>
          <w:b/>
          <w:bCs/>
        </w:rPr>
      </w:pPr>
    </w:p>
    <w:p w14:paraId="4C5A105C" w14:textId="77777777" w:rsidR="003604B7" w:rsidRDefault="003604B7">
      <w:pPr>
        <w:tabs>
          <w:tab w:val="left" w:pos="1740"/>
        </w:tabs>
        <w:rPr>
          <w:b/>
          <w:bCs/>
        </w:rPr>
      </w:pPr>
    </w:p>
    <w:p w14:paraId="47EA099B" w14:textId="77777777" w:rsidR="003604B7" w:rsidRDefault="003604B7">
      <w:pPr>
        <w:tabs>
          <w:tab w:val="left" w:pos="1740"/>
        </w:tabs>
        <w:rPr>
          <w:b/>
          <w:bCs/>
        </w:rPr>
      </w:pPr>
    </w:p>
    <w:p w14:paraId="4B3AD991" w14:textId="77777777" w:rsidR="003604B7" w:rsidRDefault="003604B7">
      <w:pPr>
        <w:tabs>
          <w:tab w:val="left" w:pos="1740"/>
        </w:tabs>
        <w:rPr>
          <w:b/>
          <w:bCs/>
        </w:rPr>
      </w:pPr>
    </w:p>
    <w:p w14:paraId="04E369AE" w14:textId="534586C7" w:rsidR="003604B7" w:rsidRDefault="003604B7">
      <w:pPr>
        <w:tabs>
          <w:tab w:val="left" w:pos="1740"/>
        </w:tabs>
        <w:rPr>
          <w:b/>
          <w:bCs/>
        </w:rPr>
      </w:pPr>
    </w:p>
    <w:p w14:paraId="2D506C1E" w14:textId="01507CFD" w:rsidR="003604B7" w:rsidRDefault="003604B7">
      <w:pPr>
        <w:tabs>
          <w:tab w:val="left" w:pos="1740"/>
        </w:tabs>
        <w:rPr>
          <w:b/>
          <w:bCs/>
        </w:rPr>
      </w:pPr>
    </w:p>
    <w:p w14:paraId="4A7E3C46" w14:textId="04D8579F" w:rsidR="00FB3167" w:rsidRDefault="009C00C4">
      <w:pPr>
        <w:tabs>
          <w:tab w:val="left" w:pos="1740"/>
        </w:tabs>
        <w:rPr>
          <w:b/>
          <w:bCs/>
        </w:rPr>
      </w:pPr>
      <w:r>
        <w:rPr>
          <w:b/>
          <w:bCs/>
        </w:rPr>
        <w:t xml:space="preserve">APPENDIX </w:t>
      </w:r>
    </w:p>
    <w:p w14:paraId="71AA10FB" w14:textId="7DA625CA" w:rsidR="006F6A4D" w:rsidRDefault="00A95AA7">
      <w:pPr>
        <w:tabs>
          <w:tab w:val="left" w:pos="1740"/>
        </w:tabs>
        <w:rPr>
          <w:bCs/>
        </w:rPr>
      </w:pPr>
      <w:r w:rsidRPr="00A95AA7">
        <w:rPr>
          <w:noProof/>
        </w:rPr>
        <w:lastRenderedPageBreak/>
        <w:drawing>
          <wp:inline distT="0" distB="0" distL="0" distR="0" wp14:anchorId="792B1AFD" wp14:editId="04696967">
            <wp:extent cx="8229600" cy="637949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6379491"/>
                    </a:xfrm>
                    <a:prstGeom prst="rect">
                      <a:avLst/>
                    </a:prstGeom>
                    <a:noFill/>
                    <a:ln>
                      <a:noFill/>
                    </a:ln>
                  </pic:spPr>
                </pic:pic>
              </a:graphicData>
            </a:graphic>
          </wp:inline>
        </w:drawing>
      </w:r>
    </w:p>
    <w:p w14:paraId="2300E486" w14:textId="07740291" w:rsidR="006F6A4D" w:rsidRDefault="00A95AA7">
      <w:pPr>
        <w:tabs>
          <w:tab w:val="left" w:pos="1740"/>
        </w:tabs>
        <w:rPr>
          <w:bCs/>
        </w:rPr>
      </w:pPr>
      <w:r w:rsidRPr="00A95AA7">
        <w:rPr>
          <w:noProof/>
        </w:rPr>
        <w:lastRenderedPageBreak/>
        <w:drawing>
          <wp:inline distT="0" distB="0" distL="0" distR="0" wp14:anchorId="0077BCE9" wp14:editId="410820DA">
            <wp:extent cx="8229600" cy="5110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110362"/>
                    </a:xfrm>
                    <a:prstGeom prst="rect">
                      <a:avLst/>
                    </a:prstGeom>
                    <a:noFill/>
                    <a:ln>
                      <a:noFill/>
                    </a:ln>
                  </pic:spPr>
                </pic:pic>
              </a:graphicData>
            </a:graphic>
          </wp:inline>
        </w:drawing>
      </w:r>
    </w:p>
    <w:p w14:paraId="555C96C6" w14:textId="5C1115FA" w:rsidR="006F6A4D" w:rsidRDefault="006F6A4D">
      <w:pPr>
        <w:tabs>
          <w:tab w:val="left" w:pos="1740"/>
        </w:tabs>
        <w:rPr>
          <w:bCs/>
        </w:rPr>
      </w:pPr>
    </w:p>
    <w:p w14:paraId="1684EED1" w14:textId="77777777" w:rsidR="006F6A4D" w:rsidRDefault="006F6A4D">
      <w:pPr>
        <w:tabs>
          <w:tab w:val="left" w:pos="1740"/>
        </w:tabs>
        <w:rPr>
          <w:bCs/>
        </w:rPr>
      </w:pPr>
    </w:p>
    <w:sectPr w:rsidR="006F6A4D" w:rsidSect="006C5C10">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96E85" w14:textId="77777777" w:rsidR="00C60BCF" w:rsidRDefault="00C60BCF" w:rsidP="000D50F2">
      <w:r>
        <w:separator/>
      </w:r>
    </w:p>
  </w:endnote>
  <w:endnote w:type="continuationSeparator" w:id="0">
    <w:p w14:paraId="0DD6FDD3" w14:textId="77777777" w:rsidR="00C60BCF" w:rsidRDefault="00C60BCF" w:rsidP="000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AA80" w14:textId="77777777" w:rsidR="00C60BCF" w:rsidRDefault="00C60BCF" w:rsidP="000D50F2">
      <w:r>
        <w:separator/>
      </w:r>
    </w:p>
  </w:footnote>
  <w:footnote w:type="continuationSeparator" w:id="0">
    <w:p w14:paraId="5BE9617D" w14:textId="77777777" w:rsidR="00C60BCF" w:rsidRDefault="00C60BCF" w:rsidP="000D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55CC6"/>
    <w:rsid w:val="00070A0E"/>
    <w:rsid w:val="000A7D95"/>
    <w:rsid w:val="000B7EDA"/>
    <w:rsid w:val="000C6436"/>
    <w:rsid w:val="000D50F2"/>
    <w:rsid w:val="000D66F3"/>
    <w:rsid w:val="00100DF5"/>
    <w:rsid w:val="001035DE"/>
    <w:rsid w:val="0010718C"/>
    <w:rsid w:val="00113C20"/>
    <w:rsid w:val="00147B57"/>
    <w:rsid w:val="00171896"/>
    <w:rsid w:val="0017634B"/>
    <w:rsid w:val="001773B4"/>
    <w:rsid w:val="001B7FC0"/>
    <w:rsid w:val="001C3022"/>
    <w:rsid w:val="001D5184"/>
    <w:rsid w:val="001E572B"/>
    <w:rsid w:val="001E61F4"/>
    <w:rsid w:val="00204087"/>
    <w:rsid w:val="00244295"/>
    <w:rsid w:val="00292B6F"/>
    <w:rsid w:val="002B44BB"/>
    <w:rsid w:val="002C623D"/>
    <w:rsid w:val="0031771D"/>
    <w:rsid w:val="0033451D"/>
    <w:rsid w:val="003604B7"/>
    <w:rsid w:val="00374EFE"/>
    <w:rsid w:val="0039087C"/>
    <w:rsid w:val="00433723"/>
    <w:rsid w:val="004348BB"/>
    <w:rsid w:val="00497748"/>
    <w:rsid w:val="004A0283"/>
    <w:rsid w:val="004D45D6"/>
    <w:rsid w:val="004F0F02"/>
    <w:rsid w:val="00526693"/>
    <w:rsid w:val="00534254"/>
    <w:rsid w:val="00553CF3"/>
    <w:rsid w:val="005839A3"/>
    <w:rsid w:val="005A7C47"/>
    <w:rsid w:val="005B1132"/>
    <w:rsid w:val="005C3C6F"/>
    <w:rsid w:val="005F0F37"/>
    <w:rsid w:val="005F58A6"/>
    <w:rsid w:val="005F64B5"/>
    <w:rsid w:val="006034E6"/>
    <w:rsid w:val="00614910"/>
    <w:rsid w:val="0062314A"/>
    <w:rsid w:val="006274A0"/>
    <w:rsid w:val="00637EFC"/>
    <w:rsid w:val="00687E50"/>
    <w:rsid w:val="006A6566"/>
    <w:rsid w:val="006C5C10"/>
    <w:rsid w:val="006D2517"/>
    <w:rsid w:val="006D322D"/>
    <w:rsid w:val="006F6A4D"/>
    <w:rsid w:val="0072734A"/>
    <w:rsid w:val="00744E9D"/>
    <w:rsid w:val="0076678E"/>
    <w:rsid w:val="0078320D"/>
    <w:rsid w:val="00790399"/>
    <w:rsid w:val="00797186"/>
    <w:rsid w:val="007B09E5"/>
    <w:rsid w:val="007C4538"/>
    <w:rsid w:val="007C7B4D"/>
    <w:rsid w:val="007D70C0"/>
    <w:rsid w:val="007E386F"/>
    <w:rsid w:val="008056E2"/>
    <w:rsid w:val="00806656"/>
    <w:rsid w:val="00815D48"/>
    <w:rsid w:val="00824788"/>
    <w:rsid w:val="0083450B"/>
    <w:rsid w:val="00867F8C"/>
    <w:rsid w:val="00870E43"/>
    <w:rsid w:val="00883378"/>
    <w:rsid w:val="008C4FB7"/>
    <w:rsid w:val="008F38E9"/>
    <w:rsid w:val="00911B5C"/>
    <w:rsid w:val="009179DC"/>
    <w:rsid w:val="00926E41"/>
    <w:rsid w:val="00943075"/>
    <w:rsid w:val="00966BC1"/>
    <w:rsid w:val="009743C8"/>
    <w:rsid w:val="0098186A"/>
    <w:rsid w:val="009C00C4"/>
    <w:rsid w:val="009C37E3"/>
    <w:rsid w:val="009D0017"/>
    <w:rsid w:val="009D0A99"/>
    <w:rsid w:val="009F658C"/>
    <w:rsid w:val="00A04D2E"/>
    <w:rsid w:val="00A1037D"/>
    <w:rsid w:val="00A51178"/>
    <w:rsid w:val="00A5714A"/>
    <w:rsid w:val="00A664A4"/>
    <w:rsid w:val="00A95AA7"/>
    <w:rsid w:val="00AB3258"/>
    <w:rsid w:val="00AC50C0"/>
    <w:rsid w:val="00AE2EB6"/>
    <w:rsid w:val="00AE66A6"/>
    <w:rsid w:val="00AE743C"/>
    <w:rsid w:val="00B102D8"/>
    <w:rsid w:val="00B45B2F"/>
    <w:rsid w:val="00BA28D1"/>
    <w:rsid w:val="00BD7AA3"/>
    <w:rsid w:val="00C25094"/>
    <w:rsid w:val="00C468A8"/>
    <w:rsid w:val="00C56B31"/>
    <w:rsid w:val="00C60BCF"/>
    <w:rsid w:val="00C73079"/>
    <w:rsid w:val="00C82567"/>
    <w:rsid w:val="00C90F61"/>
    <w:rsid w:val="00C911F6"/>
    <w:rsid w:val="00CC127E"/>
    <w:rsid w:val="00CC1DDE"/>
    <w:rsid w:val="00CE7CC9"/>
    <w:rsid w:val="00D3006B"/>
    <w:rsid w:val="00D70079"/>
    <w:rsid w:val="00D70899"/>
    <w:rsid w:val="00D74D9A"/>
    <w:rsid w:val="00D753A5"/>
    <w:rsid w:val="00D757EF"/>
    <w:rsid w:val="00D77A7C"/>
    <w:rsid w:val="00D805B5"/>
    <w:rsid w:val="00D84F18"/>
    <w:rsid w:val="00D853F2"/>
    <w:rsid w:val="00D97D93"/>
    <w:rsid w:val="00DC3FA7"/>
    <w:rsid w:val="00E017F7"/>
    <w:rsid w:val="00E10CE1"/>
    <w:rsid w:val="00E16C32"/>
    <w:rsid w:val="00E25069"/>
    <w:rsid w:val="00E25B3C"/>
    <w:rsid w:val="00E50514"/>
    <w:rsid w:val="00E51CA3"/>
    <w:rsid w:val="00E53307"/>
    <w:rsid w:val="00E77A69"/>
    <w:rsid w:val="00E908C0"/>
    <w:rsid w:val="00EF2E8B"/>
    <w:rsid w:val="00EF57E3"/>
    <w:rsid w:val="00EF7E68"/>
    <w:rsid w:val="00F25FBC"/>
    <w:rsid w:val="00F265B7"/>
    <w:rsid w:val="00F47D57"/>
    <w:rsid w:val="00F64371"/>
    <w:rsid w:val="00F800D0"/>
    <w:rsid w:val="00FB3167"/>
    <w:rsid w:val="00FC2E7C"/>
    <w:rsid w:val="00FD0C32"/>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5EE1D4F"/>
  <w14:defaultImageDpi w14:val="0"/>
  <w15:docId w15:val="{2DD76D53-1D42-416E-A2B9-D23EAE4F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sid w:val="00EF7E68"/>
    <w:rPr>
      <w:sz w:val="16"/>
      <w:szCs w:val="16"/>
    </w:rPr>
  </w:style>
  <w:style w:type="paragraph" w:styleId="CommentText">
    <w:name w:val="annotation text"/>
    <w:basedOn w:val="Normal"/>
    <w:link w:val="CommentTextChar"/>
    <w:uiPriority w:val="99"/>
    <w:rsid w:val="00EF7E68"/>
    <w:rPr>
      <w:sz w:val="20"/>
      <w:szCs w:val="20"/>
    </w:rPr>
  </w:style>
  <w:style w:type="character" w:customStyle="1" w:styleId="CommentTextChar">
    <w:name w:val="Comment Text Char"/>
    <w:basedOn w:val="DefaultParagraphFont"/>
    <w:link w:val="CommentText"/>
    <w:uiPriority w:val="99"/>
    <w:rsid w:val="00EF7E68"/>
    <w:rPr>
      <w:sz w:val="20"/>
      <w:szCs w:val="20"/>
    </w:rPr>
  </w:style>
  <w:style w:type="paragraph" w:styleId="CommentSubject">
    <w:name w:val="annotation subject"/>
    <w:basedOn w:val="CommentText"/>
    <w:next w:val="CommentText"/>
    <w:link w:val="CommentSubjectChar"/>
    <w:uiPriority w:val="99"/>
    <w:rsid w:val="00EF7E68"/>
    <w:rPr>
      <w:b/>
      <w:bCs/>
    </w:rPr>
  </w:style>
  <w:style w:type="character" w:customStyle="1" w:styleId="CommentSubjectChar">
    <w:name w:val="Comment Subject Char"/>
    <w:basedOn w:val="CommentTextChar"/>
    <w:link w:val="CommentSubject"/>
    <w:uiPriority w:val="99"/>
    <w:rsid w:val="00EF7E68"/>
    <w:rPr>
      <w:b/>
      <w:bCs/>
      <w:sz w:val="20"/>
      <w:szCs w:val="20"/>
    </w:rPr>
  </w:style>
  <w:style w:type="paragraph" w:styleId="BalloonText">
    <w:name w:val="Balloon Text"/>
    <w:basedOn w:val="Normal"/>
    <w:link w:val="BalloonTextChar"/>
    <w:uiPriority w:val="99"/>
    <w:rsid w:val="00EF7E68"/>
    <w:rPr>
      <w:rFonts w:ascii="Segoe UI" w:hAnsi="Segoe UI" w:cs="Segoe UI"/>
      <w:sz w:val="18"/>
      <w:szCs w:val="18"/>
    </w:rPr>
  </w:style>
  <w:style w:type="character" w:customStyle="1" w:styleId="BalloonTextChar">
    <w:name w:val="Balloon Text Char"/>
    <w:basedOn w:val="DefaultParagraphFont"/>
    <w:link w:val="BalloonText"/>
    <w:uiPriority w:val="99"/>
    <w:rsid w:val="00EF7E68"/>
    <w:rPr>
      <w:rFonts w:ascii="Segoe UI" w:hAnsi="Segoe UI" w:cs="Segoe UI"/>
      <w:sz w:val="18"/>
      <w:szCs w:val="18"/>
    </w:rPr>
  </w:style>
  <w:style w:type="paragraph" w:styleId="FootnoteText">
    <w:name w:val="footnote text"/>
    <w:basedOn w:val="Normal"/>
    <w:link w:val="FootnoteTextChar"/>
    <w:uiPriority w:val="99"/>
    <w:rsid w:val="000D50F2"/>
    <w:rPr>
      <w:sz w:val="20"/>
      <w:szCs w:val="20"/>
    </w:rPr>
  </w:style>
  <w:style w:type="character" w:customStyle="1" w:styleId="FootnoteTextChar">
    <w:name w:val="Footnote Text Char"/>
    <w:basedOn w:val="DefaultParagraphFont"/>
    <w:link w:val="FootnoteText"/>
    <w:uiPriority w:val="99"/>
    <w:rsid w:val="000D50F2"/>
    <w:rPr>
      <w:sz w:val="20"/>
      <w:szCs w:val="20"/>
    </w:rPr>
  </w:style>
  <w:style w:type="character" w:styleId="FootnoteReference">
    <w:name w:val="footnote reference"/>
    <w:basedOn w:val="DefaultParagraphFont"/>
    <w:uiPriority w:val="99"/>
    <w:rsid w:val="000D50F2"/>
    <w:rPr>
      <w:vertAlign w:val="superscript"/>
    </w:rPr>
  </w:style>
  <w:style w:type="character" w:styleId="FollowedHyperlink">
    <w:name w:val="FollowedHyperlink"/>
    <w:basedOn w:val="DefaultParagraphFont"/>
    <w:uiPriority w:val="99"/>
    <w:rsid w:val="00805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8701">
      <w:bodyDiv w:val="1"/>
      <w:marLeft w:val="0"/>
      <w:marRight w:val="0"/>
      <w:marTop w:val="0"/>
      <w:marBottom w:val="0"/>
      <w:divBdr>
        <w:top w:val="none" w:sz="0" w:space="0" w:color="auto"/>
        <w:left w:val="none" w:sz="0" w:space="0" w:color="auto"/>
        <w:bottom w:val="none" w:sz="0" w:space="0" w:color="auto"/>
        <w:right w:val="none" w:sz="0" w:space="0" w:color="auto"/>
      </w:divBdr>
    </w:div>
    <w:div w:id="226500407">
      <w:bodyDiv w:val="1"/>
      <w:marLeft w:val="0"/>
      <w:marRight w:val="0"/>
      <w:marTop w:val="0"/>
      <w:marBottom w:val="0"/>
      <w:divBdr>
        <w:top w:val="none" w:sz="0" w:space="0" w:color="auto"/>
        <w:left w:val="none" w:sz="0" w:space="0" w:color="auto"/>
        <w:bottom w:val="none" w:sz="0" w:space="0" w:color="auto"/>
        <w:right w:val="none" w:sz="0" w:space="0" w:color="auto"/>
      </w:divBdr>
    </w:div>
    <w:div w:id="645743728">
      <w:bodyDiv w:val="1"/>
      <w:marLeft w:val="0"/>
      <w:marRight w:val="0"/>
      <w:marTop w:val="0"/>
      <w:marBottom w:val="0"/>
      <w:divBdr>
        <w:top w:val="none" w:sz="0" w:space="0" w:color="auto"/>
        <w:left w:val="none" w:sz="0" w:space="0" w:color="auto"/>
        <w:bottom w:val="none" w:sz="0" w:space="0" w:color="auto"/>
        <w:right w:val="none" w:sz="0" w:space="0" w:color="auto"/>
      </w:divBdr>
    </w:div>
    <w:div w:id="678582406">
      <w:bodyDiv w:val="1"/>
      <w:marLeft w:val="0"/>
      <w:marRight w:val="0"/>
      <w:marTop w:val="0"/>
      <w:marBottom w:val="0"/>
      <w:divBdr>
        <w:top w:val="none" w:sz="0" w:space="0" w:color="auto"/>
        <w:left w:val="none" w:sz="0" w:space="0" w:color="auto"/>
        <w:bottom w:val="none" w:sz="0" w:space="0" w:color="auto"/>
        <w:right w:val="none" w:sz="0" w:space="0" w:color="auto"/>
      </w:divBdr>
    </w:div>
    <w:div w:id="20142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sanders@eiu.ed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eiu.edu/~assess/" TargetMode="External"/><Relationship Id="rId4" Type="http://schemas.openxmlformats.org/officeDocument/2006/relationships/webSettings" Target="webSettings.xml"/><Relationship Id="rId9" Type="http://schemas.openxmlformats.org/officeDocument/2006/relationships/hyperlink" Target="mailto:kjsander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5E45-8337-45C0-93BD-5DF999E7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2017-06-15T21:03:00Z</cp:lastPrinted>
  <dcterms:created xsi:type="dcterms:W3CDTF">2017-07-19T14:33:00Z</dcterms:created>
  <dcterms:modified xsi:type="dcterms:W3CDTF">2017-07-19T14:33:00Z</dcterms:modified>
</cp:coreProperties>
</file>