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15A80" w14:textId="36EF50F8" w:rsidR="002A3A77" w:rsidRDefault="00B97862" w:rsidP="00B97862">
      <w:pPr>
        <w:jc w:val="center"/>
        <w:rPr>
          <w:rFonts w:ascii="Century Gothic" w:hAnsi="Century Gothic"/>
          <w:b/>
          <w:sz w:val="32"/>
          <w:szCs w:val="32"/>
        </w:rPr>
      </w:pPr>
      <w:bookmarkStart w:id="0" w:name="_GoBack"/>
      <w:bookmarkEnd w:id="0"/>
      <w:r>
        <w:rPr>
          <w:rFonts w:ascii="Century Gothic" w:hAnsi="Century Gothic"/>
          <w:b/>
          <w:sz w:val="32"/>
          <w:szCs w:val="32"/>
        </w:rPr>
        <w:t>Writing &amp; Cr</w:t>
      </w:r>
      <w:r w:rsidR="000760E7">
        <w:rPr>
          <w:rFonts w:ascii="Century Gothic" w:hAnsi="Century Gothic"/>
          <w:b/>
          <w:sz w:val="32"/>
          <w:szCs w:val="32"/>
        </w:rPr>
        <w:t xml:space="preserve">itical Reading </w:t>
      </w:r>
    </w:p>
    <w:p w14:paraId="33C8BC5F" w14:textId="39360DCA" w:rsidR="000760E7" w:rsidRDefault="000760E7" w:rsidP="00B97862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Learning Goal Executive Summary</w:t>
      </w:r>
      <w:r w:rsidR="007E5714">
        <w:rPr>
          <w:rFonts w:ascii="Century Gothic" w:hAnsi="Century Gothic"/>
          <w:b/>
          <w:sz w:val="32"/>
          <w:szCs w:val="32"/>
        </w:rPr>
        <w:t xml:space="preserve"> 2018</w:t>
      </w:r>
    </w:p>
    <w:p w14:paraId="2E99B6D2" w14:textId="77777777" w:rsidR="00B97862" w:rsidRDefault="00B97862" w:rsidP="00B97862">
      <w:pPr>
        <w:jc w:val="center"/>
        <w:rPr>
          <w:rFonts w:ascii="Century Gothic" w:hAnsi="Century Gothic"/>
          <w:b/>
          <w:sz w:val="32"/>
          <w:szCs w:val="32"/>
        </w:rPr>
      </w:pPr>
    </w:p>
    <w:p w14:paraId="23880D91" w14:textId="77777777" w:rsidR="00BD652C" w:rsidRDefault="009676E8" w:rsidP="00B97862">
      <w:pPr>
        <w:rPr>
          <w:rFonts w:ascii="Adobe Caslon Pro" w:hAnsi="Adobe Caslon Pro"/>
        </w:rPr>
      </w:pPr>
      <w:r>
        <w:rPr>
          <w:rFonts w:ascii="Adobe Caslon Pro" w:hAnsi="Adobe Caslon Pro"/>
        </w:rPr>
        <w:t xml:space="preserve">Based on the 2017 NSSE, </w:t>
      </w:r>
      <w:r w:rsidR="003659A9">
        <w:rPr>
          <w:rFonts w:ascii="Adobe Caslon Pro" w:hAnsi="Adobe Caslon Pro"/>
        </w:rPr>
        <w:t>results related to writing and critical reading a</w:t>
      </w:r>
      <w:r w:rsidR="00BD652C">
        <w:rPr>
          <w:rFonts w:ascii="Adobe Caslon Pro" w:hAnsi="Adobe Caslon Pro"/>
        </w:rPr>
        <w:t>re mixed. In regard to using the writing process, here are significant findings:</w:t>
      </w:r>
    </w:p>
    <w:p w14:paraId="7CE3D980" w14:textId="2AD7B553" w:rsidR="00BD652C" w:rsidRDefault="003659A9" w:rsidP="00BD652C">
      <w:pPr>
        <w:pStyle w:val="ListParagraph"/>
        <w:numPr>
          <w:ilvl w:val="0"/>
          <w:numId w:val="6"/>
        </w:numPr>
        <w:rPr>
          <w:rFonts w:ascii="Adobe Caslon Pro" w:hAnsi="Adobe Caslon Pro"/>
        </w:rPr>
      </w:pPr>
      <w:r w:rsidRPr="00BD652C">
        <w:rPr>
          <w:rFonts w:ascii="Adobe Caslon Pro" w:hAnsi="Adobe Caslon Pro"/>
        </w:rPr>
        <w:t xml:space="preserve">51% of first-year students report “preparing two or more drafts of paper before turning it in” “often” and “very often,” which is 5% above students at public Midwestern MA-granting institutions. </w:t>
      </w:r>
    </w:p>
    <w:p w14:paraId="38699688" w14:textId="6700E201" w:rsidR="009676E8" w:rsidRPr="00BD652C" w:rsidRDefault="00BD652C" w:rsidP="00BD652C">
      <w:pPr>
        <w:pStyle w:val="ListParagraph"/>
        <w:numPr>
          <w:ilvl w:val="0"/>
          <w:numId w:val="6"/>
        </w:numPr>
        <w:rPr>
          <w:rFonts w:ascii="Adobe Caslon Pro" w:hAnsi="Adobe Caslon Pro"/>
        </w:rPr>
      </w:pPr>
      <w:r>
        <w:rPr>
          <w:rFonts w:ascii="Adobe Caslon Pro" w:hAnsi="Adobe Caslon Pro"/>
        </w:rPr>
        <w:t>S</w:t>
      </w:r>
      <w:r w:rsidR="003659A9" w:rsidRPr="00BD652C">
        <w:rPr>
          <w:rFonts w:ascii="Adobe Caslon Pro" w:hAnsi="Adobe Caslon Pro"/>
        </w:rPr>
        <w:t xml:space="preserve">eniors report preparing two or drafts “often” and “very often” 38% of the time, which is 5% below seniors at the same type of colleges. </w:t>
      </w:r>
    </w:p>
    <w:p w14:paraId="45C0BF17" w14:textId="77777777" w:rsidR="003659A9" w:rsidRDefault="003659A9" w:rsidP="00B97862">
      <w:pPr>
        <w:rPr>
          <w:rFonts w:ascii="Adobe Caslon Pro" w:hAnsi="Adobe Caslon Pro"/>
        </w:rPr>
      </w:pPr>
    </w:p>
    <w:p w14:paraId="53011C16" w14:textId="3539C0A5" w:rsidR="002A51BE" w:rsidRDefault="002A51BE" w:rsidP="00B97862">
      <w:pPr>
        <w:rPr>
          <w:rFonts w:ascii="Adobe Caslon Pro" w:hAnsi="Adobe Caslon Pro"/>
        </w:rPr>
      </w:pPr>
      <w:r>
        <w:rPr>
          <w:rFonts w:ascii="Adobe Caslon Pro" w:hAnsi="Adobe Caslon Pro"/>
        </w:rPr>
        <w:t>From a larger perspective</w:t>
      </w:r>
      <w:r w:rsidR="00550993">
        <w:rPr>
          <w:rFonts w:ascii="Adobe Caslon Pro" w:hAnsi="Adobe Caslon Pro"/>
        </w:rPr>
        <w:t xml:space="preserve">, when asked about how </w:t>
      </w:r>
      <w:r w:rsidR="003659A9">
        <w:rPr>
          <w:rFonts w:ascii="Adobe Caslon Pro" w:hAnsi="Adobe Caslon Pro"/>
        </w:rPr>
        <w:t xml:space="preserve">their experiences at the university have “contributed to [their] knowledge, skills, and </w:t>
      </w:r>
      <w:r w:rsidR="003B0CB2">
        <w:rPr>
          <w:rFonts w:ascii="Adobe Caslon Pro" w:hAnsi="Adobe Caslon Pro"/>
        </w:rPr>
        <w:t xml:space="preserve">personal </w:t>
      </w:r>
      <w:r w:rsidR="003659A9">
        <w:rPr>
          <w:rFonts w:ascii="Adobe Caslon Pro" w:hAnsi="Adobe Caslon Pro"/>
        </w:rPr>
        <w:t>dev</w:t>
      </w:r>
      <w:r w:rsidR="003B0CB2">
        <w:rPr>
          <w:rFonts w:ascii="Adobe Caslon Pro" w:hAnsi="Adobe Caslon Pro"/>
        </w:rPr>
        <w:t>e</w:t>
      </w:r>
      <w:r w:rsidR="003659A9">
        <w:rPr>
          <w:rFonts w:ascii="Adobe Caslon Pro" w:hAnsi="Adobe Caslon Pro"/>
        </w:rPr>
        <w:t>lopment</w:t>
      </w:r>
      <w:r w:rsidR="003B0CB2">
        <w:rPr>
          <w:rFonts w:ascii="Adobe Caslon Pro" w:hAnsi="Adobe Caslon Pro"/>
        </w:rPr>
        <w:t xml:space="preserve"> in writing </w:t>
      </w:r>
      <w:r>
        <w:rPr>
          <w:rFonts w:ascii="Adobe Caslon Pro" w:hAnsi="Adobe Caslon Pro"/>
        </w:rPr>
        <w:t>clearly and effectively</w:t>
      </w:r>
      <w:r w:rsidR="003B0CB2">
        <w:rPr>
          <w:rFonts w:ascii="Adobe Caslon Pro" w:hAnsi="Adobe Caslon Pro"/>
        </w:rPr>
        <w:t>”</w:t>
      </w:r>
      <w:r>
        <w:rPr>
          <w:rFonts w:ascii="Adobe Caslon Pro" w:hAnsi="Adobe Caslon Pro"/>
        </w:rPr>
        <w:t>:</w:t>
      </w:r>
    </w:p>
    <w:p w14:paraId="29E156BF" w14:textId="674C9E52" w:rsidR="002A51BE" w:rsidRDefault="003B0CB2" w:rsidP="002A51BE">
      <w:pPr>
        <w:pStyle w:val="ListParagraph"/>
        <w:numPr>
          <w:ilvl w:val="0"/>
          <w:numId w:val="4"/>
        </w:numPr>
        <w:rPr>
          <w:rFonts w:ascii="Adobe Caslon Pro" w:hAnsi="Adobe Caslon Pro"/>
        </w:rPr>
      </w:pPr>
      <w:r w:rsidRPr="002A51BE">
        <w:rPr>
          <w:rFonts w:ascii="Adobe Caslon Pro" w:hAnsi="Adobe Caslon Pro"/>
        </w:rPr>
        <w:t>73% of first-year students indicate “very much” (20%) a</w:t>
      </w:r>
      <w:r w:rsidR="000760E7">
        <w:rPr>
          <w:rFonts w:ascii="Adobe Caslon Pro" w:hAnsi="Adobe Caslon Pro"/>
        </w:rPr>
        <w:t xml:space="preserve">nd “quite a bit” (53%) in contrast </w:t>
      </w:r>
      <w:r w:rsidRPr="002A51BE">
        <w:rPr>
          <w:rFonts w:ascii="Adobe Caslon Pro" w:hAnsi="Adobe Caslon Pro"/>
        </w:rPr>
        <w:t xml:space="preserve">to 63% at </w:t>
      </w:r>
      <w:r w:rsidR="000760E7">
        <w:rPr>
          <w:rFonts w:ascii="Adobe Caslon Pro" w:hAnsi="Adobe Caslon Pro"/>
        </w:rPr>
        <w:t xml:space="preserve">similar </w:t>
      </w:r>
      <w:r w:rsidR="00BD652C">
        <w:rPr>
          <w:rFonts w:ascii="Adobe Caslon Pro" w:hAnsi="Adobe Caslon Pro"/>
        </w:rPr>
        <w:t>institutions</w:t>
      </w:r>
      <w:r w:rsidR="002A51BE">
        <w:rPr>
          <w:rFonts w:ascii="Adobe Caslon Pro" w:hAnsi="Adobe Caslon Pro"/>
        </w:rPr>
        <w:t>.</w:t>
      </w:r>
    </w:p>
    <w:p w14:paraId="0015FE3C" w14:textId="76861418" w:rsidR="002A51BE" w:rsidRDefault="002A51BE" w:rsidP="002A51BE">
      <w:pPr>
        <w:pStyle w:val="ListParagraph"/>
        <w:numPr>
          <w:ilvl w:val="0"/>
          <w:numId w:val="4"/>
        </w:numPr>
        <w:rPr>
          <w:rFonts w:ascii="Adobe Caslon Pro" w:hAnsi="Adobe Caslon Pro"/>
        </w:rPr>
      </w:pPr>
      <w:r>
        <w:rPr>
          <w:rFonts w:ascii="Adobe Caslon Pro" w:hAnsi="Adobe Caslon Pro"/>
        </w:rPr>
        <w:t>76% of s</w:t>
      </w:r>
      <w:r w:rsidR="003B0CB2" w:rsidRPr="002A51BE">
        <w:rPr>
          <w:rFonts w:ascii="Adobe Caslon Pro" w:hAnsi="Adobe Caslon Pro"/>
        </w:rPr>
        <w:t>eniors indicate the same answers compared to 71% at</w:t>
      </w:r>
      <w:r w:rsidR="00BD652C" w:rsidRPr="00BD652C">
        <w:rPr>
          <w:rFonts w:ascii="Adobe Caslon Pro" w:hAnsi="Adobe Caslon Pro"/>
        </w:rPr>
        <w:t xml:space="preserve"> </w:t>
      </w:r>
      <w:r w:rsidR="00BD652C" w:rsidRPr="002A51BE">
        <w:rPr>
          <w:rFonts w:ascii="Adobe Caslon Pro" w:hAnsi="Adobe Caslon Pro"/>
        </w:rPr>
        <w:t>compara</w:t>
      </w:r>
      <w:r w:rsidR="00BD652C">
        <w:rPr>
          <w:rFonts w:ascii="Adobe Caslon Pro" w:hAnsi="Adobe Caslon Pro"/>
        </w:rPr>
        <w:t>ble universities</w:t>
      </w:r>
      <w:r>
        <w:rPr>
          <w:rFonts w:ascii="Adobe Caslon Pro" w:hAnsi="Adobe Caslon Pro"/>
        </w:rPr>
        <w:t>.</w:t>
      </w:r>
    </w:p>
    <w:p w14:paraId="0E6FAD79" w14:textId="66C6F4F3" w:rsidR="003659A9" w:rsidRPr="002A51BE" w:rsidRDefault="008D3248" w:rsidP="002A51BE">
      <w:pPr>
        <w:rPr>
          <w:rFonts w:ascii="Adobe Caslon Pro" w:hAnsi="Adobe Caslon Pro"/>
        </w:rPr>
      </w:pPr>
      <w:r w:rsidRPr="002A51BE">
        <w:rPr>
          <w:rFonts w:ascii="Adobe Caslon Pro" w:hAnsi="Adobe Caslon Pro"/>
        </w:rPr>
        <w:t xml:space="preserve">The difference of EIU first-year students focusing on improving their writing in contrast to comparable universities appears to be a noteworthy difference of 10%. </w:t>
      </w:r>
    </w:p>
    <w:p w14:paraId="6D5EC5CF" w14:textId="77777777" w:rsidR="003B0CB2" w:rsidRDefault="003B0CB2" w:rsidP="00B97862">
      <w:pPr>
        <w:rPr>
          <w:rFonts w:ascii="Adobe Caslon Pro" w:hAnsi="Adobe Caslon Pro"/>
        </w:rPr>
      </w:pPr>
    </w:p>
    <w:p w14:paraId="62065293" w14:textId="41EE9D3A" w:rsidR="00927F25" w:rsidRDefault="00927F25" w:rsidP="00B97862">
      <w:pPr>
        <w:rPr>
          <w:rFonts w:ascii="Adobe Caslon Pro" w:hAnsi="Adobe Caslon Pro"/>
        </w:rPr>
      </w:pPr>
      <w:r>
        <w:rPr>
          <w:rFonts w:ascii="Adobe Caslon Pro" w:hAnsi="Adobe Caslon Pro"/>
        </w:rPr>
        <w:t>Results f</w:t>
      </w:r>
      <w:r w:rsidR="00BD652C">
        <w:rPr>
          <w:rFonts w:ascii="Adobe Caslon Pro" w:hAnsi="Adobe Caslon Pro"/>
        </w:rPr>
        <w:t xml:space="preserve">rom the NSSE show this self-reporting about </w:t>
      </w:r>
      <w:r>
        <w:rPr>
          <w:rFonts w:ascii="Adobe Caslon Pro" w:hAnsi="Adobe Caslon Pro"/>
        </w:rPr>
        <w:t>reading</w:t>
      </w:r>
      <w:r w:rsidR="00BD652C">
        <w:rPr>
          <w:rFonts w:ascii="Adobe Caslon Pro" w:hAnsi="Adobe Caslon Pro"/>
        </w:rPr>
        <w:t xml:space="preserve"> practices</w:t>
      </w:r>
      <w:r>
        <w:rPr>
          <w:rFonts w:ascii="Adobe Caslon Pro" w:hAnsi="Adobe Caslon Pro"/>
        </w:rPr>
        <w:t>:</w:t>
      </w:r>
    </w:p>
    <w:p w14:paraId="4018D813" w14:textId="088B369A" w:rsidR="00BD652C" w:rsidRDefault="00BD652C" w:rsidP="00BD652C">
      <w:pPr>
        <w:pStyle w:val="ListParagraph"/>
        <w:numPr>
          <w:ilvl w:val="0"/>
          <w:numId w:val="5"/>
        </w:numPr>
        <w:rPr>
          <w:rFonts w:ascii="Adobe Caslon Pro" w:hAnsi="Adobe Caslon Pro"/>
        </w:rPr>
      </w:pPr>
      <w:r>
        <w:rPr>
          <w:rFonts w:ascii="Adobe Caslon Pro" w:hAnsi="Adobe Caslon Pro"/>
        </w:rPr>
        <w:t xml:space="preserve">55% of first-year students </w:t>
      </w:r>
      <w:r w:rsidR="003B0CB2" w:rsidRPr="00BD652C">
        <w:rPr>
          <w:rFonts w:ascii="Adobe Caslon Pro" w:hAnsi="Adobe Caslon Pro"/>
        </w:rPr>
        <w:t>note they spend only 0-5 hours a week on reading, and 30% spend between 5-10 hours a week</w:t>
      </w:r>
      <w:r w:rsidR="000760E7">
        <w:rPr>
          <w:rFonts w:ascii="Adobe Caslon Pro" w:hAnsi="Adobe Caslon Pro"/>
        </w:rPr>
        <w:t xml:space="preserve">, which is consistent to findings at similar institutions. </w:t>
      </w:r>
    </w:p>
    <w:p w14:paraId="3B3107A8" w14:textId="0E2D8243" w:rsidR="00BD652C" w:rsidRDefault="00C5485D" w:rsidP="00BD652C">
      <w:pPr>
        <w:pStyle w:val="ListParagraph"/>
        <w:numPr>
          <w:ilvl w:val="0"/>
          <w:numId w:val="5"/>
        </w:numPr>
        <w:rPr>
          <w:rFonts w:ascii="Adobe Caslon Pro" w:hAnsi="Adobe Caslon Pro"/>
        </w:rPr>
      </w:pPr>
      <w:r>
        <w:rPr>
          <w:rFonts w:ascii="Adobe Caslon Pro" w:hAnsi="Adobe Caslon Pro"/>
        </w:rPr>
        <w:t>57% of seniors say</w:t>
      </w:r>
      <w:r w:rsidR="00BD652C">
        <w:rPr>
          <w:rFonts w:ascii="Adobe Caslon Pro" w:hAnsi="Adobe Caslon Pro"/>
        </w:rPr>
        <w:t xml:space="preserve"> they spend</w:t>
      </w:r>
      <w:r w:rsidR="00BD652C" w:rsidRPr="00BD652C">
        <w:rPr>
          <w:rFonts w:ascii="Adobe Caslon Pro" w:hAnsi="Adobe Caslon Pro"/>
        </w:rPr>
        <w:t xml:space="preserve"> 0-5 hours</w:t>
      </w:r>
      <w:r>
        <w:rPr>
          <w:rFonts w:ascii="Adobe Caslon Pro" w:hAnsi="Adobe Caslon Pro"/>
        </w:rPr>
        <w:t xml:space="preserve"> on reading</w:t>
      </w:r>
      <w:r w:rsidR="00BD652C">
        <w:rPr>
          <w:rFonts w:ascii="Adobe Caslon Pro" w:hAnsi="Adobe Caslon Pro"/>
        </w:rPr>
        <w:t>,</w:t>
      </w:r>
      <w:r>
        <w:rPr>
          <w:rFonts w:ascii="Adobe Caslon Pro" w:hAnsi="Adobe Caslon Pro"/>
        </w:rPr>
        <w:t xml:space="preserve"> and 25% spend between</w:t>
      </w:r>
      <w:r w:rsidR="00BD652C" w:rsidRPr="00BD652C">
        <w:rPr>
          <w:rFonts w:ascii="Adobe Caslon Pro" w:hAnsi="Adobe Caslon Pro"/>
        </w:rPr>
        <w:t xml:space="preserve"> 5-10 h</w:t>
      </w:r>
      <w:r>
        <w:rPr>
          <w:rFonts w:ascii="Adobe Caslon Pro" w:hAnsi="Adobe Caslon Pro"/>
        </w:rPr>
        <w:t>ours a week</w:t>
      </w:r>
      <w:r w:rsidR="00BD652C" w:rsidRPr="00BD652C">
        <w:rPr>
          <w:rFonts w:ascii="Adobe Caslon Pro" w:hAnsi="Adobe Caslon Pro"/>
        </w:rPr>
        <w:t>, which is slightly higher (8</w:t>
      </w:r>
      <w:r w:rsidR="000760E7">
        <w:rPr>
          <w:rFonts w:ascii="Adobe Caslon Pro" w:hAnsi="Adobe Caslon Pro"/>
        </w:rPr>
        <w:t>2%) than comparable universities</w:t>
      </w:r>
      <w:r w:rsidR="00BD652C" w:rsidRPr="00BD652C">
        <w:rPr>
          <w:rFonts w:ascii="Adobe Caslon Pro" w:hAnsi="Adobe Caslon Pro"/>
        </w:rPr>
        <w:t xml:space="preserve"> (79%).</w:t>
      </w:r>
    </w:p>
    <w:p w14:paraId="51958310" w14:textId="77777777" w:rsidR="009676E8" w:rsidRDefault="009676E8" w:rsidP="00B97862">
      <w:pPr>
        <w:rPr>
          <w:rFonts w:ascii="Adobe Caslon Pro" w:hAnsi="Adobe Caslon Pro"/>
        </w:rPr>
      </w:pPr>
    </w:p>
    <w:p w14:paraId="49BCE625" w14:textId="526F6513" w:rsidR="00962B8A" w:rsidRDefault="00BD652C" w:rsidP="00B97862">
      <w:pPr>
        <w:rPr>
          <w:rFonts w:ascii="Adobe Caslon Pro" w:hAnsi="Adobe Caslon Pro"/>
        </w:rPr>
      </w:pPr>
      <w:r>
        <w:rPr>
          <w:rFonts w:ascii="Adobe Caslon Pro" w:hAnsi="Adobe Caslon Pro"/>
        </w:rPr>
        <w:t>When looking at the results from the CLA, the standardized test</w:t>
      </w:r>
      <w:r w:rsidR="00962B8A">
        <w:rPr>
          <w:rFonts w:ascii="Adobe Caslon Pro" w:hAnsi="Adobe Caslon Pro"/>
        </w:rPr>
        <w:t xml:space="preserve"> shows meager gains in regard to the holistic goal of “writing effectiveness” and the limited goal of “writing mechanics.” A certain</w:t>
      </w:r>
      <w:r w:rsidR="00050BB0">
        <w:rPr>
          <w:rFonts w:ascii="Adobe Caslon Pro" w:hAnsi="Adobe Caslon Pro"/>
        </w:rPr>
        <w:t xml:space="preserve"> cadre of seniors earned more 4 and 3 markers</w:t>
      </w:r>
      <w:r w:rsidR="00962B8A">
        <w:rPr>
          <w:rFonts w:ascii="Adobe Caslon Pro" w:hAnsi="Adobe Caslon Pro"/>
        </w:rPr>
        <w:t xml:space="preserve"> on those </w:t>
      </w:r>
      <w:proofErr w:type="spellStart"/>
      <w:r w:rsidR="00962B8A">
        <w:rPr>
          <w:rFonts w:ascii="Adobe Caslon Pro" w:hAnsi="Adobe Caslon Pro"/>
        </w:rPr>
        <w:t>subscores</w:t>
      </w:r>
      <w:proofErr w:type="spellEnd"/>
      <w:r w:rsidR="00962B8A">
        <w:rPr>
          <w:rFonts w:ascii="Adobe Caslon Pro" w:hAnsi="Adobe Caslon Pro"/>
        </w:rPr>
        <w:t xml:space="preserve"> than a different cadre of first-year students. </w:t>
      </w:r>
    </w:p>
    <w:p w14:paraId="6A05FFE2" w14:textId="77777777" w:rsidR="00B97862" w:rsidRDefault="00B97862" w:rsidP="00B97862">
      <w:pPr>
        <w:rPr>
          <w:rFonts w:ascii="Adobe Caslon Pro" w:hAnsi="Adobe Caslon Pro"/>
        </w:rPr>
      </w:pPr>
    </w:p>
    <w:p w14:paraId="205758A6" w14:textId="7487B2C4" w:rsidR="007130D9" w:rsidRPr="00BD652C" w:rsidRDefault="007130D9" w:rsidP="007130D9">
      <w:pPr>
        <w:rPr>
          <w:rFonts w:ascii="Adobe Caslon Pro" w:hAnsi="Adobe Caslon Pro"/>
          <w:color w:val="000000" w:themeColor="text1"/>
        </w:rPr>
      </w:pPr>
      <w:r>
        <w:rPr>
          <w:rFonts w:ascii="Adobe Caslon Pro" w:hAnsi="Adobe Caslon Pro"/>
        </w:rPr>
        <w:t xml:space="preserve">In regard to </w:t>
      </w:r>
      <w:proofErr w:type="spellStart"/>
      <w:r>
        <w:rPr>
          <w:rFonts w:ascii="Adobe Caslon Pro" w:hAnsi="Adobe Caslon Pro"/>
        </w:rPr>
        <w:t>Eastern’s</w:t>
      </w:r>
      <w:proofErr w:type="spellEnd"/>
      <w:r>
        <w:rPr>
          <w:rFonts w:ascii="Adobe Caslon Pro" w:hAnsi="Adobe Caslon Pro"/>
        </w:rPr>
        <w:t xml:space="preserve"> E</w:t>
      </w:r>
      <w:r w:rsidR="00D43BDD">
        <w:rPr>
          <w:rFonts w:ascii="Adobe Caslon Pro" w:hAnsi="Adobe Caslon Pro"/>
        </w:rPr>
        <w:t>lectronic Writing Portfolio (EWP</w:t>
      </w:r>
      <w:r>
        <w:rPr>
          <w:rFonts w:ascii="Adobe Caslon Pro" w:hAnsi="Adobe Caslon Pro"/>
        </w:rPr>
        <w:t xml:space="preserve">), </w:t>
      </w:r>
      <w:r>
        <w:rPr>
          <w:rFonts w:ascii="Adobe Caslon Pro" w:hAnsi="Adobe Caslon Pro"/>
          <w:color w:val="000000" w:themeColor="text1"/>
        </w:rPr>
        <w:t>a</w:t>
      </w:r>
      <w:r w:rsidRPr="008D3248">
        <w:rPr>
          <w:rFonts w:ascii="Adobe Caslon Pro" w:hAnsi="Adobe Caslon Pro"/>
          <w:color w:val="000000" w:themeColor="text1"/>
        </w:rPr>
        <w:t xml:space="preserve">ccording to </w:t>
      </w:r>
      <w:r>
        <w:rPr>
          <w:rFonts w:ascii="Adobe Caslon Pro" w:hAnsi="Adobe Caslon Pro"/>
          <w:color w:val="000000" w:themeColor="text1"/>
        </w:rPr>
        <w:t>faculty readers, the strengths of the EWPs were the following: m</w:t>
      </w:r>
      <w:r w:rsidRPr="00BD652C">
        <w:rPr>
          <w:rFonts w:ascii="Adobe Caslon Pro" w:hAnsi="Adobe Caslon Pro"/>
          <w:color w:val="000000" w:themeColor="text1"/>
        </w:rPr>
        <w:t>echanics,</w:t>
      </w:r>
      <w:r>
        <w:rPr>
          <w:rFonts w:ascii="Adobe Caslon Pro" w:hAnsi="Adobe Caslon Pro"/>
          <w:color w:val="000000" w:themeColor="text1"/>
        </w:rPr>
        <w:t xml:space="preserve"> f</w:t>
      </w:r>
      <w:r w:rsidRPr="00BD652C">
        <w:rPr>
          <w:rFonts w:ascii="Adobe Caslon Pro" w:hAnsi="Adobe Caslon Pro"/>
          <w:color w:val="000000" w:themeColor="text1"/>
        </w:rPr>
        <w:t xml:space="preserve">ocus, and </w:t>
      </w:r>
      <w:r>
        <w:rPr>
          <w:rFonts w:ascii="Adobe Caslon Pro" w:hAnsi="Adobe Caslon Pro"/>
          <w:color w:val="000000" w:themeColor="text1"/>
        </w:rPr>
        <w:t>u</w:t>
      </w:r>
      <w:r w:rsidRPr="00BD652C">
        <w:rPr>
          <w:rFonts w:ascii="Adobe Caslon Pro" w:hAnsi="Adobe Caslon Pro"/>
          <w:color w:val="000000" w:themeColor="text1"/>
        </w:rPr>
        <w:t>se of sources</w:t>
      </w:r>
      <w:r>
        <w:rPr>
          <w:rFonts w:ascii="Adobe Caslon Pro" w:hAnsi="Adobe Caslon Pro"/>
          <w:color w:val="000000" w:themeColor="text1"/>
        </w:rPr>
        <w:t>. In contrast, the weaker</w:t>
      </w:r>
      <w:r w:rsidRPr="008D3248">
        <w:rPr>
          <w:rFonts w:ascii="Adobe Caslon Pro" w:hAnsi="Adobe Caslon Pro"/>
          <w:color w:val="000000" w:themeColor="text1"/>
        </w:rPr>
        <w:t xml:space="preserve"> areas were </w:t>
      </w:r>
      <w:r>
        <w:rPr>
          <w:rFonts w:ascii="Adobe Caslon Pro" w:hAnsi="Adobe Caslon Pro"/>
          <w:color w:val="000000" w:themeColor="text1"/>
        </w:rPr>
        <w:t>the following: d</w:t>
      </w:r>
      <w:r w:rsidRPr="00BD652C">
        <w:rPr>
          <w:rFonts w:ascii="Adobe Caslon Pro" w:hAnsi="Adobe Caslon Pro"/>
          <w:color w:val="000000" w:themeColor="text1"/>
        </w:rPr>
        <w:t>evelopment,</w:t>
      </w:r>
      <w:r>
        <w:rPr>
          <w:rFonts w:ascii="Adobe Caslon Pro" w:hAnsi="Adobe Caslon Pro"/>
          <w:color w:val="000000" w:themeColor="text1"/>
        </w:rPr>
        <w:t xml:space="preserve"> o</w:t>
      </w:r>
      <w:r w:rsidRPr="00BD652C">
        <w:rPr>
          <w:rFonts w:ascii="Adobe Caslon Pro" w:hAnsi="Adobe Caslon Pro"/>
          <w:color w:val="000000" w:themeColor="text1"/>
        </w:rPr>
        <w:t xml:space="preserve">rganization, </w:t>
      </w:r>
      <w:r>
        <w:rPr>
          <w:rFonts w:ascii="Adobe Caslon Pro" w:hAnsi="Adobe Caslon Pro"/>
          <w:color w:val="000000" w:themeColor="text1"/>
        </w:rPr>
        <w:t>s</w:t>
      </w:r>
      <w:r w:rsidRPr="00BD652C">
        <w:rPr>
          <w:rFonts w:ascii="Adobe Caslon Pro" w:hAnsi="Adobe Caslon Pro"/>
          <w:color w:val="000000" w:themeColor="text1"/>
        </w:rPr>
        <w:t xml:space="preserve">tyle, and </w:t>
      </w:r>
      <w:r>
        <w:rPr>
          <w:rFonts w:ascii="Adobe Caslon Pro" w:hAnsi="Adobe Caslon Pro"/>
          <w:color w:val="000000" w:themeColor="text1"/>
        </w:rPr>
        <w:t>s</w:t>
      </w:r>
      <w:r w:rsidRPr="00BD652C">
        <w:rPr>
          <w:rFonts w:ascii="Adobe Caslon Pro" w:hAnsi="Adobe Caslon Pro"/>
          <w:color w:val="000000" w:themeColor="text1"/>
        </w:rPr>
        <w:t xml:space="preserve">ense of audience.  </w:t>
      </w:r>
    </w:p>
    <w:p w14:paraId="51F0A9D3" w14:textId="77777777" w:rsidR="007130D9" w:rsidRDefault="007130D9" w:rsidP="007130D9">
      <w:pPr>
        <w:rPr>
          <w:rFonts w:ascii="Adobe Caslon Pro" w:hAnsi="Adobe Caslon Pro"/>
          <w:color w:val="000000" w:themeColor="text1"/>
        </w:rPr>
      </w:pPr>
    </w:p>
    <w:p w14:paraId="3168D310" w14:textId="7069928E" w:rsidR="007130D9" w:rsidRPr="007130D9" w:rsidRDefault="007130D9" w:rsidP="007130D9">
      <w:pPr>
        <w:rPr>
          <w:rFonts w:ascii="Adobe Caslon Pro" w:hAnsi="Adobe Caslon Pro"/>
          <w:color w:val="000000" w:themeColor="text1"/>
        </w:rPr>
      </w:pPr>
      <w:r>
        <w:rPr>
          <w:rFonts w:ascii="Adobe Caslon Pro" w:hAnsi="Adobe Caslon Pro"/>
          <w:color w:val="000000" w:themeColor="text1"/>
        </w:rPr>
        <w:t xml:space="preserve">Readers related that they saw </w:t>
      </w:r>
      <w:r w:rsidRPr="008D3248">
        <w:rPr>
          <w:rFonts w:ascii="Adobe Caslon Pro" w:hAnsi="Adobe Caslon Pro"/>
          <w:color w:val="000000" w:themeColor="text1"/>
        </w:rPr>
        <w:t>litt</w:t>
      </w:r>
      <w:r>
        <w:rPr>
          <w:rFonts w:ascii="Adobe Caslon Pro" w:hAnsi="Adobe Caslon Pro"/>
          <w:color w:val="000000" w:themeColor="text1"/>
        </w:rPr>
        <w:t>le growth across the portfolios</w:t>
      </w:r>
      <w:r w:rsidR="00D43BDD">
        <w:rPr>
          <w:rFonts w:ascii="Adobe Caslon Pro" w:hAnsi="Adobe Caslon Pro"/>
          <w:color w:val="000000" w:themeColor="text1"/>
        </w:rPr>
        <w:t>. H</w:t>
      </w:r>
      <w:r>
        <w:rPr>
          <w:rFonts w:ascii="Adobe Caslon Pro" w:hAnsi="Adobe Caslon Pro"/>
          <w:color w:val="000000" w:themeColor="text1"/>
        </w:rPr>
        <w:t>owever, the submissions are provided in a random manner. In general</w:t>
      </w:r>
      <w:r w:rsidR="00D43BDD">
        <w:rPr>
          <w:rFonts w:ascii="Adobe Caslon Pro" w:hAnsi="Adobe Caslon Pro"/>
          <w:color w:val="000000" w:themeColor="text1"/>
        </w:rPr>
        <w:t xml:space="preserve"> though</w:t>
      </w:r>
      <w:r>
        <w:rPr>
          <w:rFonts w:ascii="Adobe Caslon Pro" w:hAnsi="Adobe Caslon Pro"/>
          <w:color w:val="000000" w:themeColor="text1"/>
        </w:rPr>
        <w:t xml:space="preserve">, stronger writing resulted from </w:t>
      </w:r>
      <w:r w:rsidRPr="008D3248">
        <w:rPr>
          <w:rFonts w:ascii="Adobe Caslon Pro" w:hAnsi="Adobe Caslon Pro"/>
          <w:color w:val="000000" w:themeColor="text1"/>
        </w:rPr>
        <w:t>research papers</w:t>
      </w:r>
      <w:r>
        <w:rPr>
          <w:rFonts w:ascii="Adobe Caslon Pro" w:hAnsi="Adobe Caslon Pro"/>
          <w:color w:val="000000" w:themeColor="text1"/>
        </w:rPr>
        <w:t xml:space="preserve"> and assignments that asked student to undertake higher-level critical thinking tasks</w:t>
      </w:r>
      <w:r w:rsidRPr="008D3248">
        <w:rPr>
          <w:rFonts w:ascii="Adobe Caslon Pro" w:hAnsi="Adobe Caslon Pro"/>
          <w:color w:val="000000" w:themeColor="text1"/>
        </w:rPr>
        <w:t>.</w:t>
      </w:r>
    </w:p>
    <w:p w14:paraId="4AF99A48" w14:textId="77777777" w:rsidR="00623B60" w:rsidRDefault="00623B60" w:rsidP="00B97862">
      <w:pPr>
        <w:rPr>
          <w:rFonts w:ascii="Adobe Caslon Pro" w:hAnsi="Adobe Caslon Pro"/>
        </w:rPr>
      </w:pPr>
    </w:p>
    <w:p w14:paraId="6707DD79" w14:textId="77777777" w:rsidR="00623B60" w:rsidRDefault="00623B60" w:rsidP="00B97862">
      <w:pPr>
        <w:rPr>
          <w:rFonts w:ascii="Adobe Caslon Pro" w:hAnsi="Adobe Caslon Pro"/>
        </w:rPr>
      </w:pPr>
      <w:r>
        <w:rPr>
          <w:rFonts w:ascii="Adobe Caslon Pro" w:hAnsi="Adobe Caslon Pro"/>
        </w:rPr>
        <w:t>Overall scores of the portfolios were the following:</w:t>
      </w:r>
    </w:p>
    <w:p w14:paraId="763CB7FE" w14:textId="77777777" w:rsidR="00623B60" w:rsidRPr="007130D9" w:rsidRDefault="00623B60" w:rsidP="00623B60">
      <w:pPr>
        <w:pStyle w:val="ListParagraph"/>
        <w:numPr>
          <w:ilvl w:val="0"/>
          <w:numId w:val="9"/>
        </w:numPr>
        <w:rPr>
          <w:rFonts w:ascii="Adobe Caslon Pro" w:hAnsi="Adobe Caslon Pro"/>
        </w:rPr>
      </w:pPr>
      <w:r w:rsidRPr="007130D9">
        <w:rPr>
          <w:rFonts w:ascii="Adobe Caslon Pro" w:hAnsi="Adobe Caslon Pro"/>
        </w:rPr>
        <w:t xml:space="preserve">Strong Portfolios:  </w:t>
      </w:r>
      <w:r w:rsidRPr="007130D9">
        <w:rPr>
          <w:rFonts w:ascii="Adobe Caslon Pro" w:hAnsi="Adobe Caslon Pro"/>
        </w:rPr>
        <w:tab/>
        <w:t>21.82%</w:t>
      </w:r>
    </w:p>
    <w:p w14:paraId="126B9526" w14:textId="77777777" w:rsidR="00623B60" w:rsidRPr="007130D9" w:rsidRDefault="00623B60" w:rsidP="00623B60">
      <w:pPr>
        <w:pStyle w:val="ListParagraph"/>
        <w:numPr>
          <w:ilvl w:val="0"/>
          <w:numId w:val="9"/>
        </w:numPr>
        <w:rPr>
          <w:rFonts w:ascii="Adobe Caslon Pro" w:hAnsi="Adobe Caslon Pro"/>
        </w:rPr>
      </w:pPr>
      <w:r w:rsidRPr="007130D9">
        <w:rPr>
          <w:rFonts w:ascii="Adobe Caslon Pro" w:hAnsi="Adobe Caslon Pro"/>
        </w:rPr>
        <w:t>Adequate Portfolios:</w:t>
      </w:r>
      <w:r w:rsidRPr="007130D9">
        <w:rPr>
          <w:rFonts w:ascii="Adobe Caslon Pro" w:hAnsi="Adobe Caslon Pro"/>
        </w:rPr>
        <w:tab/>
        <w:t>61.21%</w:t>
      </w:r>
    </w:p>
    <w:p w14:paraId="44457F63" w14:textId="77777777" w:rsidR="00623B60" w:rsidRPr="007130D9" w:rsidRDefault="00623B60" w:rsidP="00623B60">
      <w:pPr>
        <w:pStyle w:val="ListParagraph"/>
        <w:numPr>
          <w:ilvl w:val="0"/>
          <w:numId w:val="9"/>
        </w:numPr>
        <w:rPr>
          <w:rFonts w:ascii="Adobe Caslon Pro" w:hAnsi="Adobe Caslon Pro"/>
        </w:rPr>
      </w:pPr>
      <w:r w:rsidRPr="007130D9">
        <w:rPr>
          <w:rFonts w:ascii="Adobe Caslon Pro" w:hAnsi="Adobe Caslon Pro"/>
        </w:rPr>
        <w:t>Weak Portfolios:</w:t>
      </w:r>
      <w:r w:rsidRPr="007130D9">
        <w:rPr>
          <w:rFonts w:ascii="Adobe Caslon Pro" w:hAnsi="Adobe Caslon Pro"/>
        </w:rPr>
        <w:tab/>
        <w:t>15.76%</w:t>
      </w:r>
    </w:p>
    <w:p w14:paraId="25D47E5F" w14:textId="77777777" w:rsidR="00623B60" w:rsidRPr="007130D9" w:rsidRDefault="00623B60" w:rsidP="00623B60">
      <w:pPr>
        <w:rPr>
          <w:rFonts w:ascii="Adobe Caslon Pro" w:hAnsi="Adobe Caslon Pro"/>
        </w:rPr>
      </w:pPr>
    </w:p>
    <w:p w14:paraId="03366D3A" w14:textId="260DA718" w:rsidR="00B97862" w:rsidRDefault="007130D9" w:rsidP="00B97862">
      <w:pPr>
        <w:rPr>
          <w:rFonts w:ascii="Adobe Caslon Pro" w:hAnsi="Adobe Caslon Pro"/>
          <w:color w:val="000000" w:themeColor="text1"/>
        </w:rPr>
      </w:pPr>
      <w:r>
        <w:rPr>
          <w:rFonts w:ascii="Adobe Caslon Pro" w:hAnsi="Adobe Caslon Pro"/>
        </w:rPr>
        <w:t xml:space="preserve">As can be seen in the graph below, there was an </w:t>
      </w:r>
      <w:r w:rsidR="00331435">
        <w:rPr>
          <w:rFonts w:ascii="Adobe Caslon Pro" w:hAnsi="Adobe Caslon Pro"/>
        </w:rPr>
        <w:t>uptick</w:t>
      </w:r>
      <w:r>
        <w:rPr>
          <w:rFonts w:ascii="Adobe Caslon Pro" w:hAnsi="Adobe Caslon Pro"/>
        </w:rPr>
        <w:t xml:space="preserve"> in the percentage</w:t>
      </w:r>
      <w:r w:rsidR="00050BB0">
        <w:rPr>
          <w:rFonts w:ascii="Adobe Caslon Pro" w:hAnsi="Adobe Caslon Pro"/>
        </w:rPr>
        <w:t xml:space="preserve"> of “adequate” portfolios </w:t>
      </w:r>
      <w:r w:rsidR="00BD652C">
        <w:rPr>
          <w:rFonts w:ascii="Adobe Caslon Pro" w:hAnsi="Adobe Caslon Pro"/>
          <w:color w:val="000000" w:themeColor="text1"/>
        </w:rPr>
        <w:t>(61% compared to the previous</w:t>
      </w:r>
      <w:r>
        <w:rPr>
          <w:rFonts w:ascii="Adobe Caslon Pro" w:hAnsi="Adobe Caslon Pro"/>
          <w:color w:val="000000" w:themeColor="text1"/>
        </w:rPr>
        <w:t xml:space="preserve"> year’s 52</w:t>
      </w:r>
      <w:r w:rsidR="00050BB0" w:rsidRPr="008D3248">
        <w:rPr>
          <w:rFonts w:ascii="Adobe Caslon Pro" w:hAnsi="Adobe Caslon Pro"/>
          <w:color w:val="000000" w:themeColor="text1"/>
        </w:rPr>
        <w:t xml:space="preserve">%). </w:t>
      </w:r>
      <w:r>
        <w:rPr>
          <w:rFonts w:ascii="Adobe Caslon Pro" w:hAnsi="Adobe Caslon Pro"/>
          <w:color w:val="000000" w:themeColor="text1"/>
        </w:rPr>
        <w:t xml:space="preserve">In addition, the percentage of “weak” portfolios was significantly smaller than the past two years (16% compared to 26% and 25%). </w:t>
      </w:r>
    </w:p>
    <w:p w14:paraId="5F44B79F" w14:textId="77777777" w:rsidR="007130D9" w:rsidRPr="008D3248" w:rsidRDefault="007130D9" w:rsidP="00B97862">
      <w:pPr>
        <w:rPr>
          <w:rFonts w:ascii="Adobe Caslon Pro" w:hAnsi="Adobe Caslon Pro"/>
          <w:color w:val="000000" w:themeColor="text1"/>
        </w:rPr>
      </w:pPr>
    </w:p>
    <w:p w14:paraId="5F89F44D" w14:textId="54548BF8" w:rsidR="00623B60" w:rsidRPr="008D3248" w:rsidRDefault="00623B60" w:rsidP="00B97862">
      <w:pPr>
        <w:rPr>
          <w:rFonts w:ascii="Adobe Caslon Pro" w:hAnsi="Adobe Caslon Pro"/>
          <w:color w:val="000000" w:themeColor="text1"/>
        </w:rPr>
      </w:pPr>
    </w:p>
    <w:p w14:paraId="02E165CD" w14:textId="77777777" w:rsidR="00623B60" w:rsidRDefault="00623B60" w:rsidP="00BD652C">
      <w:pPr>
        <w:rPr>
          <w:rFonts w:ascii="Adobe Caslon Pro" w:hAnsi="Adobe Caslon Pro"/>
          <w:color w:val="000000" w:themeColor="text1"/>
        </w:rPr>
      </w:pPr>
      <w:r>
        <w:rPr>
          <w:noProof/>
        </w:rPr>
        <w:drawing>
          <wp:inline distT="0" distB="0" distL="0" distR="0" wp14:anchorId="05B19DC4" wp14:editId="09FE1B9C">
            <wp:extent cx="5387340" cy="1844040"/>
            <wp:effectExtent l="0" t="0" r="22860" b="2286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FCD1A2F" w14:textId="77777777" w:rsidR="00623B60" w:rsidRDefault="00623B60" w:rsidP="00BD652C">
      <w:pPr>
        <w:rPr>
          <w:rFonts w:ascii="Adobe Caslon Pro" w:hAnsi="Adobe Caslon Pro"/>
          <w:color w:val="000000" w:themeColor="text1"/>
        </w:rPr>
      </w:pPr>
    </w:p>
    <w:p w14:paraId="6A454393" w14:textId="77777777" w:rsidR="007130D9" w:rsidRDefault="007130D9" w:rsidP="00BD652C">
      <w:pPr>
        <w:rPr>
          <w:rFonts w:ascii="Adobe Caslon Pro" w:hAnsi="Adobe Caslon Pro"/>
          <w:color w:val="000000" w:themeColor="text1"/>
        </w:rPr>
      </w:pPr>
    </w:p>
    <w:p w14:paraId="61AB42C8" w14:textId="51849814" w:rsidR="00B97862" w:rsidRDefault="00B97862" w:rsidP="00B9786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Implications</w:t>
      </w:r>
      <w:r w:rsidR="00927F25">
        <w:rPr>
          <w:rFonts w:ascii="Century Gothic" w:hAnsi="Century Gothic"/>
          <w:b/>
        </w:rPr>
        <w:t xml:space="preserve"> for Growth &amp; Improvement</w:t>
      </w:r>
    </w:p>
    <w:p w14:paraId="66BB40E7" w14:textId="04A958A7" w:rsidR="000760E7" w:rsidRDefault="00927F25" w:rsidP="00B97862">
      <w:pPr>
        <w:rPr>
          <w:rFonts w:ascii="Adobe Caslon Pro" w:hAnsi="Adobe Caslon Pro"/>
        </w:rPr>
      </w:pPr>
      <w:r>
        <w:rPr>
          <w:rFonts w:ascii="Adobe Caslon Pro" w:hAnsi="Adobe Caslon Pro"/>
        </w:rPr>
        <w:t xml:space="preserve">The NSSE provides serious indicators that students are not </w:t>
      </w:r>
      <w:r w:rsidR="00081B83">
        <w:rPr>
          <w:rFonts w:ascii="Adobe Caslon Pro" w:hAnsi="Adobe Caslon Pro"/>
        </w:rPr>
        <w:t>spending enough time reading</w:t>
      </w:r>
      <w:r w:rsidR="00550993">
        <w:rPr>
          <w:rFonts w:ascii="Adobe Caslon Pro" w:hAnsi="Adobe Caslon Pro"/>
        </w:rPr>
        <w:t xml:space="preserve"> even though self-reporting is consistent with comparable institutions</w:t>
      </w:r>
      <w:r>
        <w:rPr>
          <w:rFonts w:ascii="Adobe Caslon Pro" w:hAnsi="Adobe Caslon Pro"/>
        </w:rPr>
        <w:t>.</w:t>
      </w:r>
      <w:r w:rsidR="00081B83">
        <w:rPr>
          <w:rFonts w:ascii="Adobe Caslon Pro" w:hAnsi="Adobe Caslon Pro"/>
        </w:rPr>
        <w:t xml:space="preserve"> </w:t>
      </w:r>
      <w:r>
        <w:rPr>
          <w:rFonts w:ascii="Adobe Caslon Pro" w:hAnsi="Adobe Caslon Pro"/>
        </w:rPr>
        <w:t xml:space="preserve">Instructors need to find ways to make reading meaningful </w:t>
      </w:r>
      <w:r w:rsidR="00550993">
        <w:rPr>
          <w:rFonts w:ascii="Adobe Caslon Pro" w:hAnsi="Adobe Caslon Pro"/>
        </w:rPr>
        <w:t xml:space="preserve">and required </w:t>
      </w:r>
      <w:r>
        <w:rPr>
          <w:rFonts w:ascii="Adobe Caslon Pro" w:hAnsi="Adobe Caslon Pro"/>
        </w:rPr>
        <w:t xml:space="preserve">in their courses. Some best </w:t>
      </w:r>
      <w:r w:rsidR="00550993">
        <w:rPr>
          <w:rFonts w:ascii="Adobe Caslon Pro" w:hAnsi="Adobe Caslon Pro"/>
        </w:rPr>
        <w:t xml:space="preserve">practices can be found in </w:t>
      </w:r>
      <w:r w:rsidR="000760E7">
        <w:rPr>
          <w:rFonts w:ascii="Adobe Caslon Pro" w:hAnsi="Adobe Caslon Pro"/>
        </w:rPr>
        <w:t>following resources:</w:t>
      </w:r>
    </w:p>
    <w:p w14:paraId="43C3F9B4" w14:textId="77777777" w:rsidR="000760E7" w:rsidRPr="000760E7" w:rsidRDefault="00927F25" w:rsidP="000760E7">
      <w:pPr>
        <w:pStyle w:val="ListParagraph"/>
        <w:numPr>
          <w:ilvl w:val="0"/>
          <w:numId w:val="8"/>
        </w:numPr>
        <w:rPr>
          <w:rFonts w:ascii="Adobe Caslon Pro" w:hAnsi="Adobe Caslon Pro"/>
        </w:rPr>
      </w:pPr>
      <w:r w:rsidRPr="000760E7">
        <w:rPr>
          <w:rFonts w:ascii="Adobe Caslon Pro" w:hAnsi="Adobe Caslon Pro"/>
          <w:i/>
          <w:iCs/>
        </w:rPr>
        <w:t>Engaging Ideas</w:t>
      </w:r>
      <w:r w:rsidR="000760E7">
        <w:rPr>
          <w:rFonts w:ascii="Adobe Caslon Pro" w:hAnsi="Adobe Caslon Pro"/>
          <w:i/>
          <w:iCs/>
        </w:rPr>
        <w:t xml:space="preserve">: The Professor’s Guide to Integrating Writing, Critical Thinking, and Active Learning in the Classroom </w:t>
      </w:r>
      <w:r w:rsidR="000760E7">
        <w:rPr>
          <w:rFonts w:ascii="Adobe Caslon Pro" w:hAnsi="Adobe Caslon Pro"/>
          <w:iCs/>
        </w:rPr>
        <w:t>by John C. Bean</w:t>
      </w:r>
    </w:p>
    <w:p w14:paraId="0F3B645F" w14:textId="77777777" w:rsidR="000760E7" w:rsidRPr="000760E7" w:rsidRDefault="000760E7" w:rsidP="000760E7">
      <w:pPr>
        <w:pStyle w:val="ListParagraph"/>
        <w:numPr>
          <w:ilvl w:val="0"/>
          <w:numId w:val="8"/>
        </w:numPr>
        <w:rPr>
          <w:rFonts w:ascii="Adobe Caslon Pro" w:hAnsi="Adobe Caslon Pro"/>
        </w:rPr>
      </w:pPr>
      <w:r>
        <w:rPr>
          <w:rFonts w:ascii="Adobe Caslon Pro" w:hAnsi="Adobe Caslon Pro"/>
          <w:i/>
          <w:iCs/>
        </w:rPr>
        <w:t>Make</w:t>
      </w:r>
      <w:r w:rsidR="00927F25" w:rsidRPr="000760E7">
        <w:rPr>
          <w:rFonts w:ascii="Adobe Caslon Pro" w:hAnsi="Adobe Caslon Pro"/>
          <w:i/>
          <w:iCs/>
        </w:rPr>
        <w:t xml:space="preserve"> It Stick</w:t>
      </w:r>
      <w:r>
        <w:rPr>
          <w:rFonts w:ascii="Adobe Caslon Pro" w:hAnsi="Adobe Caslon Pro"/>
          <w:i/>
          <w:iCs/>
        </w:rPr>
        <w:t xml:space="preserve">: The Science of Successful Learning </w:t>
      </w:r>
      <w:r>
        <w:rPr>
          <w:rFonts w:ascii="Adobe Caslon Pro" w:hAnsi="Adobe Caslon Pro"/>
          <w:iCs/>
        </w:rPr>
        <w:t xml:space="preserve">by Peter C. Brown, Henry L. </w:t>
      </w:r>
      <w:proofErr w:type="spellStart"/>
      <w:r>
        <w:rPr>
          <w:rFonts w:ascii="Adobe Caslon Pro" w:hAnsi="Adobe Caslon Pro"/>
          <w:iCs/>
        </w:rPr>
        <w:t>Roediger</w:t>
      </w:r>
      <w:proofErr w:type="spellEnd"/>
      <w:r>
        <w:rPr>
          <w:rFonts w:ascii="Adobe Caslon Pro" w:hAnsi="Adobe Caslon Pro"/>
          <w:iCs/>
        </w:rPr>
        <w:t xml:space="preserve"> III, and Mark A McDaniel</w:t>
      </w:r>
    </w:p>
    <w:p w14:paraId="1C4CE1BC" w14:textId="77777777" w:rsidR="000760E7" w:rsidRPr="000760E7" w:rsidRDefault="00550993" w:rsidP="000760E7">
      <w:pPr>
        <w:pStyle w:val="ListParagraph"/>
        <w:numPr>
          <w:ilvl w:val="0"/>
          <w:numId w:val="8"/>
        </w:numPr>
        <w:rPr>
          <w:rFonts w:ascii="Adobe Caslon Pro" w:hAnsi="Adobe Caslon Pro"/>
        </w:rPr>
      </w:pPr>
      <w:r w:rsidRPr="000760E7">
        <w:rPr>
          <w:rFonts w:ascii="Adobe Caslon Pro" w:hAnsi="Adobe Caslon Pro"/>
          <w:i/>
          <w:iCs/>
        </w:rPr>
        <w:t>Small Teaching</w:t>
      </w:r>
      <w:r w:rsidR="000760E7">
        <w:rPr>
          <w:rFonts w:ascii="Adobe Caslon Pro" w:hAnsi="Adobe Caslon Pro"/>
          <w:i/>
          <w:iCs/>
        </w:rPr>
        <w:t xml:space="preserve">: Everyday Lessons from the Science of Learning </w:t>
      </w:r>
      <w:r w:rsidR="000760E7">
        <w:rPr>
          <w:rFonts w:ascii="Adobe Caslon Pro" w:hAnsi="Adobe Caslon Pro"/>
          <w:iCs/>
        </w:rPr>
        <w:t>by James M. Lang</w:t>
      </w:r>
    </w:p>
    <w:p w14:paraId="7360D663" w14:textId="5E8201B2" w:rsidR="00927F25" w:rsidRPr="000760E7" w:rsidRDefault="00927F25" w:rsidP="000760E7">
      <w:pPr>
        <w:pStyle w:val="ListParagraph"/>
        <w:numPr>
          <w:ilvl w:val="0"/>
          <w:numId w:val="8"/>
        </w:numPr>
        <w:rPr>
          <w:rFonts w:ascii="Adobe Caslon Pro" w:hAnsi="Adobe Caslon Pro"/>
        </w:rPr>
      </w:pPr>
      <w:r w:rsidRPr="000760E7">
        <w:rPr>
          <w:rFonts w:ascii="Adobe Caslon Pro" w:hAnsi="Adobe Caslon Pro"/>
        </w:rPr>
        <w:t xml:space="preserve">“Strategies That Foster Critical Reading” on the Writing-Critical Reading Learning Goals website. </w:t>
      </w:r>
    </w:p>
    <w:p w14:paraId="527EC406" w14:textId="77777777" w:rsidR="00927F25" w:rsidRDefault="00927F25" w:rsidP="00B97862">
      <w:pPr>
        <w:rPr>
          <w:rFonts w:ascii="Adobe Caslon Pro" w:hAnsi="Adobe Caslon Pro"/>
        </w:rPr>
      </w:pPr>
    </w:p>
    <w:p w14:paraId="706BBB7A" w14:textId="06D3A3E7" w:rsidR="00081B83" w:rsidRDefault="00927F25" w:rsidP="00B97862">
      <w:pPr>
        <w:rPr>
          <w:rFonts w:ascii="Adobe Caslon Pro" w:hAnsi="Adobe Caslon Pro"/>
        </w:rPr>
      </w:pPr>
      <w:r>
        <w:rPr>
          <w:rFonts w:ascii="Adobe Caslon Pro" w:hAnsi="Adobe Caslon Pro"/>
        </w:rPr>
        <w:t>Based on the results from the CLA a</w:t>
      </w:r>
      <w:r w:rsidR="00D43BDD">
        <w:rPr>
          <w:rFonts w:ascii="Adobe Caslon Pro" w:hAnsi="Adobe Caslon Pro"/>
        </w:rPr>
        <w:t>nd EWP, faculty should use</w:t>
      </w:r>
      <w:r>
        <w:rPr>
          <w:rFonts w:ascii="Adobe Caslon Pro" w:hAnsi="Adobe Caslon Pro"/>
        </w:rPr>
        <w:t xml:space="preserve"> the </w:t>
      </w:r>
      <w:r w:rsidR="00081B83">
        <w:rPr>
          <w:rFonts w:ascii="Adobe Caslon Pro" w:hAnsi="Adobe Caslon Pro"/>
        </w:rPr>
        <w:t xml:space="preserve">writing process </w:t>
      </w:r>
      <w:r w:rsidR="00550993">
        <w:rPr>
          <w:rFonts w:ascii="Adobe Caslon Pro" w:hAnsi="Adobe Caslon Pro"/>
        </w:rPr>
        <w:t>in a more robust manner</w:t>
      </w:r>
      <w:r w:rsidR="00331435">
        <w:rPr>
          <w:rFonts w:ascii="Adobe Caslon Pro" w:hAnsi="Adobe Caslon Pro"/>
        </w:rPr>
        <w:t xml:space="preserve">, </w:t>
      </w:r>
      <w:r>
        <w:rPr>
          <w:rFonts w:ascii="Adobe Caslon Pro" w:hAnsi="Adobe Caslon Pro"/>
        </w:rPr>
        <w:t>f</w:t>
      </w:r>
      <w:r w:rsidR="00081B83">
        <w:rPr>
          <w:rFonts w:ascii="Adobe Caslon Pro" w:hAnsi="Adobe Caslon Pro"/>
        </w:rPr>
        <w:t xml:space="preserve">ocus </w:t>
      </w:r>
      <w:r>
        <w:rPr>
          <w:rFonts w:ascii="Adobe Caslon Pro" w:hAnsi="Adobe Caslon Pro"/>
        </w:rPr>
        <w:t xml:space="preserve">more strongly </w:t>
      </w:r>
      <w:r w:rsidR="00081B83">
        <w:rPr>
          <w:rFonts w:ascii="Adobe Caslon Pro" w:hAnsi="Adobe Caslon Pro"/>
        </w:rPr>
        <w:t>on argument</w:t>
      </w:r>
      <w:r>
        <w:rPr>
          <w:rFonts w:ascii="Adobe Caslon Pro" w:hAnsi="Adobe Caslon Pro"/>
        </w:rPr>
        <w:t xml:space="preserve"> and detailed evidence</w:t>
      </w:r>
      <w:r w:rsidR="00081B83">
        <w:rPr>
          <w:rFonts w:ascii="Adobe Caslon Pro" w:hAnsi="Adobe Caslon Pro"/>
        </w:rPr>
        <w:t xml:space="preserve">, </w:t>
      </w:r>
      <w:r w:rsidR="00D43BDD">
        <w:rPr>
          <w:rFonts w:ascii="Adobe Caslon Pro" w:hAnsi="Adobe Caslon Pro"/>
        </w:rPr>
        <w:t>and design assignments that require</w:t>
      </w:r>
      <w:r>
        <w:rPr>
          <w:rFonts w:ascii="Adobe Caslon Pro" w:hAnsi="Adobe Caslon Pro"/>
        </w:rPr>
        <w:t xml:space="preserve"> higher-level critical thinking tasks. </w:t>
      </w:r>
    </w:p>
    <w:p w14:paraId="464BEC0F" w14:textId="77777777" w:rsidR="00927F25" w:rsidRDefault="00927F25" w:rsidP="00B97862">
      <w:pPr>
        <w:rPr>
          <w:rFonts w:ascii="Adobe Caslon Pro" w:hAnsi="Adobe Caslon Pro"/>
        </w:rPr>
      </w:pPr>
    </w:p>
    <w:p w14:paraId="69ABE5FF" w14:textId="4D12744A" w:rsidR="00927F25" w:rsidRDefault="000760E7" w:rsidP="00B97862">
      <w:pPr>
        <w:rPr>
          <w:rFonts w:ascii="Adobe Caslon Pro" w:hAnsi="Adobe Caslon Pro"/>
        </w:rPr>
      </w:pPr>
      <w:r>
        <w:rPr>
          <w:rFonts w:ascii="Adobe Caslon Pro" w:hAnsi="Adobe Caslon Pro"/>
        </w:rPr>
        <w:t>The University sh</w:t>
      </w:r>
      <w:r w:rsidR="00927F25">
        <w:rPr>
          <w:rFonts w:ascii="Adobe Caslon Pro" w:hAnsi="Adobe Caslon Pro"/>
        </w:rPr>
        <w:t>ould also consider implementing required writing</w:t>
      </w:r>
      <w:r w:rsidR="00D43BDD">
        <w:rPr>
          <w:rFonts w:ascii="Adobe Caslon Pro" w:hAnsi="Adobe Caslon Pro"/>
        </w:rPr>
        <w:t xml:space="preserve">-centered courses at the junior or senior </w:t>
      </w:r>
      <w:r w:rsidR="00927F25">
        <w:rPr>
          <w:rFonts w:ascii="Adobe Caslon Pro" w:hAnsi="Adobe Caslon Pro"/>
        </w:rPr>
        <w:t>level for</w:t>
      </w:r>
      <w:r>
        <w:rPr>
          <w:rFonts w:ascii="Adobe Caslon Pro" w:hAnsi="Adobe Caslon Pro"/>
        </w:rPr>
        <w:t xml:space="preserve"> every major at the university, which is a best practice at univers</w:t>
      </w:r>
      <w:r w:rsidR="00623B60">
        <w:rPr>
          <w:rFonts w:ascii="Adobe Caslon Pro" w:hAnsi="Adobe Caslon Pro"/>
        </w:rPr>
        <w:t>ities across the country</w:t>
      </w:r>
      <w:r>
        <w:rPr>
          <w:rFonts w:ascii="Adobe Caslon Pro" w:hAnsi="Adobe Caslon Pro"/>
        </w:rPr>
        <w:t xml:space="preserve">. Students take general-education writing courses at the first-year level to provide a solid foundation for future writing tasks, and then students take required writing courses in their majors or later in their undergraduate careers to reinforce </w:t>
      </w:r>
      <w:r w:rsidR="00623B60">
        <w:rPr>
          <w:rFonts w:ascii="Adobe Caslon Pro" w:hAnsi="Adobe Caslon Pro"/>
        </w:rPr>
        <w:t xml:space="preserve">and refine their writing practices and abilities. </w:t>
      </w:r>
    </w:p>
    <w:p w14:paraId="70041FD8" w14:textId="77777777" w:rsidR="00081B83" w:rsidRDefault="00081B83" w:rsidP="00B97862">
      <w:pPr>
        <w:rPr>
          <w:rFonts w:ascii="Adobe Caslon Pro" w:hAnsi="Adobe Caslon Pro"/>
        </w:rPr>
      </w:pPr>
    </w:p>
    <w:sectPr w:rsidR="00081B83" w:rsidSect="0079607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Georgia"/>
    <w:panose1 w:val="0205050205050A020403"/>
    <w:charset w:val="00"/>
    <w:family w:val="auto"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291"/>
    <w:multiLevelType w:val="hybridMultilevel"/>
    <w:tmpl w:val="0764CE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21BB3"/>
    <w:multiLevelType w:val="hybridMultilevel"/>
    <w:tmpl w:val="9E209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57F75"/>
    <w:multiLevelType w:val="hybridMultilevel"/>
    <w:tmpl w:val="FD28A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01FC0"/>
    <w:multiLevelType w:val="hybridMultilevel"/>
    <w:tmpl w:val="94CE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508B8"/>
    <w:multiLevelType w:val="hybridMultilevel"/>
    <w:tmpl w:val="7392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F0AF3"/>
    <w:multiLevelType w:val="hybridMultilevel"/>
    <w:tmpl w:val="71D0D9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7444F"/>
    <w:multiLevelType w:val="hybridMultilevel"/>
    <w:tmpl w:val="7688C8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F191F"/>
    <w:multiLevelType w:val="hybridMultilevel"/>
    <w:tmpl w:val="F622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33A6A"/>
    <w:multiLevelType w:val="hybridMultilevel"/>
    <w:tmpl w:val="8A4C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62"/>
    <w:rsid w:val="00050BB0"/>
    <w:rsid w:val="000760E7"/>
    <w:rsid w:val="00081B83"/>
    <w:rsid w:val="00246098"/>
    <w:rsid w:val="002A3A77"/>
    <w:rsid w:val="002A51BE"/>
    <w:rsid w:val="00331435"/>
    <w:rsid w:val="003659A9"/>
    <w:rsid w:val="003B0CB2"/>
    <w:rsid w:val="004C2A76"/>
    <w:rsid w:val="00550993"/>
    <w:rsid w:val="00623B60"/>
    <w:rsid w:val="006D56B1"/>
    <w:rsid w:val="007130D9"/>
    <w:rsid w:val="00796073"/>
    <w:rsid w:val="007E5714"/>
    <w:rsid w:val="008D3248"/>
    <w:rsid w:val="00927F25"/>
    <w:rsid w:val="00962B8A"/>
    <w:rsid w:val="009676E8"/>
    <w:rsid w:val="00A730B2"/>
    <w:rsid w:val="00B97862"/>
    <w:rsid w:val="00BD652C"/>
    <w:rsid w:val="00C15557"/>
    <w:rsid w:val="00C5485D"/>
    <w:rsid w:val="00D43BDD"/>
    <w:rsid w:val="00EB1F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860DB8"/>
  <w15:docId w15:val="{C3F15D76-D00B-4974-8A40-B8804463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24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27F2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B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6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jsanders\Documents\assessment\EWP\Readings\SP18%20readings\EWP%20readings%20data%201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/>
              <a:t>Readers' Assessment of Portfolios--Overall 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Comparison!$I$52</c:f>
              <c:strCache>
                <c:ptCount val="1"/>
                <c:pt idx="0">
                  <c:v>AY14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Comparison!$A$53:$A$55</c:f>
              <c:strCache>
                <c:ptCount val="3"/>
                <c:pt idx="0">
                  <c:v>Strong </c:v>
                </c:pt>
                <c:pt idx="1">
                  <c:v>Adequate </c:v>
                </c:pt>
                <c:pt idx="2">
                  <c:v>Weak</c:v>
                </c:pt>
              </c:strCache>
            </c:strRef>
          </c:cat>
          <c:val>
            <c:numRef>
              <c:f>Comparison!$I$53:$I$55</c:f>
              <c:numCache>
                <c:formatCode>0%</c:formatCode>
                <c:ptCount val="3"/>
                <c:pt idx="0">
                  <c:v>0.19</c:v>
                </c:pt>
                <c:pt idx="1">
                  <c:v>0.49</c:v>
                </c:pt>
                <c:pt idx="2">
                  <c:v>0.27</c:v>
                </c:pt>
              </c:numCache>
            </c:numRef>
          </c:val>
        </c:ser>
        <c:ser>
          <c:idx val="1"/>
          <c:order val="1"/>
          <c:tx>
            <c:strRef>
              <c:f>Comparison!$J$52</c:f>
              <c:strCache>
                <c:ptCount val="1"/>
                <c:pt idx="0">
                  <c:v>AY15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Comparison!$A$53:$A$55</c:f>
              <c:strCache>
                <c:ptCount val="3"/>
                <c:pt idx="0">
                  <c:v>Strong </c:v>
                </c:pt>
                <c:pt idx="1">
                  <c:v>Adequate </c:v>
                </c:pt>
                <c:pt idx="2">
                  <c:v>Weak</c:v>
                </c:pt>
              </c:strCache>
            </c:strRef>
          </c:cat>
          <c:val>
            <c:numRef>
              <c:f>Comparison!$J$53:$J$55</c:f>
              <c:numCache>
                <c:formatCode>0%</c:formatCode>
                <c:ptCount val="3"/>
                <c:pt idx="0">
                  <c:v>0.26</c:v>
                </c:pt>
                <c:pt idx="1">
                  <c:v>0.56000000000000005</c:v>
                </c:pt>
                <c:pt idx="2">
                  <c:v>0.17</c:v>
                </c:pt>
              </c:numCache>
            </c:numRef>
          </c:val>
        </c:ser>
        <c:ser>
          <c:idx val="2"/>
          <c:order val="2"/>
          <c:tx>
            <c:strRef>
              <c:f>Comparison!$K$52</c:f>
              <c:strCache>
                <c:ptCount val="1"/>
                <c:pt idx="0">
                  <c:v>AY16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Comparison!$A$53:$A$55</c:f>
              <c:strCache>
                <c:ptCount val="3"/>
                <c:pt idx="0">
                  <c:v>Strong </c:v>
                </c:pt>
                <c:pt idx="1">
                  <c:v>Adequate </c:v>
                </c:pt>
                <c:pt idx="2">
                  <c:v>Weak</c:v>
                </c:pt>
              </c:strCache>
            </c:strRef>
          </c:cat>
          <c:val>
            <c:numRef>
              <c:f>Comparison!$K$53:$K$55</c:f>
              <c:numCache>
                <c:formatCode>0%</c:formatCode>
                <c:ptCount val="3"/>
                <c:pt idx="0">
                  <c:v>0.2</c:v>
                </c:pt>
                <c:pt idx="1">
                  <c:v>0.55000000000000004</c:v>
                </c:pt>
                <c:pt idx="2">
                  <c:v>0.25</c:v>
                </c:pt>
              </c:numCache>
            </c:numRef>
          </c:val>
        </c:ser>
        <c:ser>
          <c:idx val="3"/>
          <c:order val="3"/>
          <c:tx>
            <c:strRef>
              <c:f>Comparison!$L$52</c:f>
              <c:strCache>
                <c:ptCount val="1"/>
                <c:pt idx="0">
                  <c:v>AY17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Comparison!$A$53:$A$55</c:f>
              <c:strCache>
                <c:ptCount val="3"/>
                <c:pt idx="0">
                  <c:v>Strong </c:v>
                </c:pt>
                <c:pt idx="1">
                  <c:v>Adequate </c:v>
                </c:pt>
                <c:pt idx="2">
                  <c:v>Weak</c:v>
                </c:pt>
              </c:strCache>
            </c:strRef>
          </c:cat>
          <c:val>
            <c:numRef>
              <c:f>Comparison!$L$53:$L$55</c:f>
              <c:numCache>
                <c:formatCode>0%</c:formatCode>
                <c:ptCount val="3"/>
                <c:pt idx="0">
                  <c:v>0.21</c:v>
                </c:pt>
                <c:pt idx="1">
                  <c:v>0.52</c:v>
                </c:pt>
                <c:pt idx="2">
                  <c:v>0.26</c:v>
                </c:pt>
              </c:numCache>
            </c:numRef>
          </c:val>
        </c:ser>
        <c:ser>
          <c:idx val="4"/>
          <c:order val="4"/>
          <c:tx>
            <c:strRef>
              <c:f>Comparison!$M$52</c:f>
              <c:strCache>
                <c:ptCount val="1"/>
                <c:pt idx="0">
                  <c:v>AY18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Comparison!$A$53:$A$55</c:f>
              <c:strCache>
                <c:ptCount val="3"/>
                <c:pt idx="0">
                  <c:v>Strong </c:v>
                </c:pt>
                <c:pt idx="1">
                  <c:v>Adequate </c:v>
                </c:pt>
                <c:pt idx="2">
                  <c:v>Weak</c:v>
                </c:pt>
              </c:strCache>
            </c:strRef>
          </c:cat>
          <c:val>
            <c:numRef>
              <c:f>Comparison!$M$53:$M$55</c:f>
              <c:numCache>
                <c:formatCode>0%</c:formatCode>
                <c:ptCount val="3"/>
                <c:pt idx="0">
                  <c:v>0.22</c:v>
                </c:pt>
                <c:pt idx="1">
                  <c:v>0.61</c:v>
                </c:pt>
                <c:pt idx="2">
                  <c:v>0.16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142565168"/>
        <c:axId val="142564776"/>
      </c:barChart>
      <c:catAx>
        <c:axId val="14256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425647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56477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42565168"/>
        <c:crosses val="autoZero"/>
        <c:crossBetween val="between"/>
      </c:valAx>
      <c:spPr>
        <a:solidFill>
          <a:srgbClr val="FFFFCC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0240489740762597"/>
          <c:y val="0.26859558360989999"/>
          <c:w val="7.3959133821143705E-2"/>
          <c:h val="0.4866651482614259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Taylor</dc:creator>
  <cp:lastModifiedBy>Carrie Gossett</cp:lastModifiedBy>
  <cp:revision>2</cp:revision>
  <cp:lastPrinted>2018-11-26T17:24:00Z</cp:lastPrinted>
  <dcterms:created xsi:type="dcterms:W3CDTF">2019-01-11T18:45:00Z</dcterms:created>
  <dcterms:modified xsi:type="dcterms:W3CDTF">2019-01-11T18:45:00Z</dcterms:modified>
</cp:coreProperties>
</file>