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3B48D" w14:textId="77777777" w:rsidR="00745EB3" w:rsidRDefault="00745EB3" w:rsidP="00E44EB2">
      <w:pPr>
        <w:jc w:val="center"/>
        <w:rPr>
          <w:sz w:val="32"/>
          <w:u w:val="single"/>
        </w:rPr>
      </w:pPr>
    </w:p>
    <w:p w14:paraId="74B26BF2" w14:textId="365D75F5" w:rsidR="00FA144B" w:rsidRPr="004351F2" w:rsidRDefault="00BA589D" w:rsidP="00E44EB2">
      <w:pPr>
        <w:jc w:val="center"/>
        <w:rPr>
          <w:sz w:val="28"/>
          <w:u w:val="single"/>
        </w:rPr>
      </w:pPr>
      <w:r w:rsidRPr="004351F2">
        <w:rPr>
          <w:sz w:val="28"/>
          <w:u w:val="single"/>
        </w:rPr>
        <w:t>Quantitative</w:t>
      </w:r>
      <w:r w:rsidR="004C3AF1">
        <w:rPr>
          <w:sz w:val="28"/>
          <w:u w:val="single"/>
        </w:rPr>
        <w:t xml:space="preserve"> Rubric</w:t>
      </w:r>
      <w:bookmarkStart w:id="0" w:name="_GoBack"/>
      <w:bookmarkEnd w:id="0"/>
    </w:p>
    <w:p w14:paraId="3D2597BA" w14:textId="77777777" w:rsidR="00286F16" w:rsidRDefault="00286F16">
      <w:pPr>
        <w:rPr>
          <w:rFonts w:cs="Times New Roman"/>
          <w:sz w:val="22"/>
          <w:szCs w:val="22"/>
        </w:rPr>
      </w:pPr>
    </w:p>
    <w:p w14:paraId="7A4F25C7" w14:textId="2850C1BF" w:rsidR="00E44EB2" w:rsidRPr="004351F2" w:rsidRDefault="00286F16">
      <w:pPr>
        <w:rPr>
          <w:rFonts w:cs="Times New Roman"/>
          <w:sz w:val="28"/>
          <w:szCs w:val="22"/>
        </w:rPr>
      </w:pPr>
      <w:r w:rsidRPr="004351F2">
        <w:rPr>
          <w:rFonts w:cs="Times New Roman"/>
          <w:sz w:val="28"/>
          <w:szCs w:val="22"/>
        </w:rPr>
        <w:t>EIU graduates produce, analyze, interpret, and evaluate quantitative material by:</w:t>
      </w:r>
    </w:p>
    <w:p w14:paraId="143AA175" w14:textId="77777777" w:rsidR="00286F16" w:rsidRDefault="00286F16"/>
    <w:tbl>
      <w:tblPr>
        <w:tblStyle w:val="TableGrid"/>
        <w:tblW w:w="0" w:type="auto"/>
        <w:jc w:val="center"/>
        <w:tblLook w:val="00A0" w:firstRow="1" w:lastRow="0" w:firstColumn="1" w:lastColumn="0" w:noHBand="0" w:noVBand="0"/>
      </w:tblPr>
      <w:tblGrid>
        <w:gridCol w:w="2561"/>
        <w:gridCol w:w="2681"/>
        <w:gridCol w:w="2575"/>
        <w:gridCol w:w="2566"/>
        <w:gridCol w:w="2567"/>
      </w:tblGrid>
      <w:tr w:rsidR="000A3516" w14:paraId="4AE3DC62" w14:textId="77777777" w:rsidTr="00BA589D">
        <w:trPr>
          <w:jc w:val="center"/>
        </w:trPr>
        <w:tc>
          <w:tcPr>
            <w:tcW w:w="2561" w:type="dxa"/>
          </w:tcPr>
          <w:p w14:paraId="4969399B" w14:textId="77777777" w:rsidR="00E44EB2" w:rsidRDefault="00E44EB2"/>
        </w:tc>
        <w:tc>
          <w:tcPr>
            <w:tcW w:w="2681" w:type="dxa"/>
          </w:tcPr>
          <w:p w14:paraId="64D3C1F4" w14:textId="7E36476D" w:rsidR="00E44EB2" w:rsidRDefault="000A3516" w:rsidP="00E44EB2">
            <w:pPr>
              <w:jc w:val="center"/>
              <w:rPr>
                <w:b/>
                <w:sz w:val="28"/>
              </w:rPr>
            </w:pPr>
            <w:r>
              <w:rPr>
                <w:b/>
                <w:sz w:val="28"/>
              </w:rPr>
              <w:t>Exemplary</w:t>
            </w:r>
          </w:p>
          <w:p w14:paraId="2AC494E5" w14:textId="77777777" w:rsidR="00E44EB2" w:rsidRPr="00E44EB2" w:rsidRDefault="00E44EB2" w:rsidP="00E44EB2">
            <w:pPr>
              <w:jc w:val="center"/>
              <w:rPr>
                <w:b/>
                <w:sz w:val="28"/>
              </w:rPr>
            </w:pPr>
            <w:r>
              <w:rPr>
                <w:b/>
                <w:sz w:val="28"/>
              </w:rPr>
              <w:t>4</w:t>
            </w:r>
          </w:p>
        </w:tc>
        <w:tc>
          <w:tcPr>
            <w:tcW w:w="2575" w:type="dxa"/>
          </w:tcPr>
          <w:p w14:paraId="5290D435" w14:textId="035F0B3A" w:rsidR="00E44EB2" w:rsidRDefault="000A3516" w:rsidP="00E44EB2">
            <w:pPr>
              <w:jc w:val="center"/>
              <w:rPr>
                <w:b/>
                <w:sz w:val="28"/>
              </w:rPr>
            </w:pPr>
            <w:r>
              <w:rPr>
                <w:b/>
                <w:sz w:val="28"/>
              </w:rPr>
              <w:t>Satisfactory</w:t>
            </w:r>
          </w:p>
          <w:p w14:paraId="1929C5E1" w14:textId="77777777" w:rsidR="00E44EB2" w:rsidRDefault="00E44EB2" w:rsidP="00E44EB2">
            <w:pPr>
              <w:jc w:val="center"/>
            </w:pPr>
            <w:r>
              <w:rPr>
                <w:b/>
                <w:sz w:val="28"/>
              </w:rPr>
              <w:t>3</w:t>
            </w:r>
          </w:p>
        </w:tc>
        <w:tc>
          <w:tcPr>
            <w:tcW w:w="2566" w:type="dxa"/>
          </w:tcPr>
          <w:p w14:paraId="72990D4B" w14:textId="70888492" w:rsidR="00E44EB2" w:rsidRDefault="004D5EF9" w:rsidP="00E44EB2">
            <w:pPr>
              <w:jc w:val="center"/>
              <w:rPr>
                <w:b/>
                <w:sz w:val="28"/>
              </w:rPr>
            </w:pPr>
            <w:r>
              <w:rPr>
                <w:b/>
                <w:sz w:val="28"/>
              </w:rPr>
              <w:t>Partial</w:t>
            </w:r>
          </w:p>
          <w:p w14:paraId="749FFE2A" w14:textId="77777777" w:rsidR="00E44EB2" w:rsidRDefault="00E44EB2" w:rsidP="00E44EB2">
            <w:pPr>
              <w:jc w:val="center"/>
            </w:pPr>
            <w:r>
              <w:rPr>
                <w:b/>
                <w:sz w:val="28"/>
              </w:rPr>
              <w:t>2</w:t>
            </w:r>
          </w:p>
        </w:tc>
        <w:tc>
          <w:tcPr>
            <w:tcW w:w="2567" w:type="dxa"/>
          </w:tcPr>
          <w:p w14:paraId="38E67E47" w14:textId="3B7C9A9A" w:rsidR="00E44EB2" w:rsidRDefault="004D5EF9" w:rsidP="00E44EB2">
            <w:pPr>
              <w:jc w:val="center"/>
              <w:rPr>
                <w:b/>
                <w:sz w:val="28"/>
              </w:rPr>
            </w:pPr>
            <w:r>
              <w:rPr>
                <w:b/>
                <w:sz w:val="28"/>
              </w:rPr>
              <w:t>Minimal</w:t>
            </w:r>
          </w:p>
          <w:p w14:paraId="7D874EB8" w14:textId="77777777" w:rsidR="00E44EB2" w:rsidRPr="00E44EB2" w:rsidRDefault="00E44EB2" w:rsidP="00E44EB2">
            <w:pPr>
              <w:jc w:val="center"/>
              <w:rPr>
                <w:b/>
                <w:sz w:val="28"/>
              </w:rPr>
            </w:pPr>
            <w:r>
              <w:rPr>
                <w:b/>
                <w:sz w:val="28"/>
              </w:rPr>
              <w:t>1</w:t>
            </w:r>
          </w:p>
        </w:tc>
      </w:tr>
      <w:tr w:rsidR="000A3516" w:rsidRPr="004351F2" w14:paraId="50A0697A" w14:textId="77777777" w:rsidTr="00BA589D">
        <w:trPr>
          <w:jc w:val="center"/>
        </w:trPr>
        <w:tc>
          <w:tcPr>
            <w:tcW w:w="2561" w:type="dxa"/>
          </w:tcPr>
          <w:p w14:paraId="228A790A" w14:textId="77777777" w:rsidR="00745EB3" w:rsidRPr="004351F2" w:rsidRDefault="00745EB3">
            <w:pPr>
              <w:rPr>
                <w:b/>
                <w:sz w:val="20"/>
                <w:szCs w:val="20"/>
              </w:rPr>
            </w:pPr>
          </w:p>
          <w:p w14:paraId="35523B84" w14:textId="2AAE2980" w:rsidR="00E44EB2" w:rsidRPr="004351F2" w:rsidRDefault="00BA589D">
            <w:pPr>
              <w:rPr>
                <w:b/>
                <w:sz w:val="20"/>
                <w:szCs w:val="20"/>
              </w:rPr>
            </w:pPr>
            <w:r w:rsidRPr="004351F2">
              <w:rPr>
                <w:rFonts w:cs="Times New Roman"/>
                <w:b/>
                <w:sz w:val="20"/>
                <w:szCs w:val="20"/>
              </w:rPr>
              <w:t>Performing basi</w:t>
            </w:r>
            <w:r w:rsidR="002200BB" w:rsidRPr="004351F2">
              <w:rPr>
                <w:rFonts w:cs="Times New Roman"/>
                <w:b/>
                <w:sz w:val="20"/>
                <w:szCs w:val="20"/>
              </w:rPr>
              <w:t>c calculations and measurements</w:t>
            </w:r>
          </w:p>
        </w:tc>
        <w:tc>
          <w:tcPr>
            <w:tcW w:w="2681" w:type="dxa"/>
          </w:tcPr>
          <w:p w14:paraId="2EC20A5A" w14:textId="77777777" w:rsidR="00745EB3" w:rsidRPr="004351F2" w:rsidRDefault="00745EB3" w:rsidP="00EF53F7">
            <w:pPr>
              <w:rPr>
                <w:sz w:val="20"/>
                <w:szCs w:val="20"/>
              </w:rPr>
            </w:pPr>
          </w:p>
          <w:p w14:paraId="6513D88A" w14:textId="17A17972" w:rsidR="00E74450" w:rsidRPr="004351F2" w:rsidRDefault="00BA589D" w:rsidP="00BA589D">
            <w:pPr>
              <w:autoSpaceDE w:val="0"/>
              <w:autoSpaceDN w:val="0"/>
              <w:adjustRightInd w:val="0"/>
              <w:rPr>
                <w:rFonts w:cs="Times New Roman"/>
                <w:sz w:val="20"/>
                <w:szCs w:val="20"/>
              </w:rPr>
            </w:pPr>
            <w:r w:rsidRPr="004351F2">
              <w:rPr>
                <w:rFonts w:cs="Times New Roman"/>
                <w:sz w:val="20"/>
                <w:szCs w:val="20"/>
              </w:rPr>
              <w:t xml:space="preserve">Calculations </w:t>
            </w:r>
            <w:r w:rsidR="002200BB" w:rsidRPr="004351F2">
              <w:rPr>
                <w:rFonts w:cs="Times New Roman"/>
                <w:sz w:val="20"/>
                <w:szCs w:val="20"/>
              </w:rPr>
              <w:t xml:space="preserve">and measurements </w:t>
            </w:r>
            <w:r w:rsidRPr="004351F2">
              <w:rPr>
                <w:rFonts w:cs="Times New Roman"/>
                <w:sz w:val="20"/>
                <w:szCs w:val="20"/>
              </w:rPr>
              <w:t xml:space="preserve">attempted are essentially all successful and sufficiently comprehensive to solve the problem. Calculations </w:t>
            </w:r>
            <w:r w:rsidR="002200BB" w:rsidRPr="004351F2">
              <w:rPr>
                <w:rFonts w:cs="Times New Roman"/>
                <w:sz w:val="20"/>
                <w:szCs w:val="20"/>
              </w:rPr>
              <w:t xml:space="preserve">and measurements </w:t>
            </w:r>
            <w:r w:rsidRPr="004351F2">
              <w:rPr>
                <w:rFonts w:cs="Times New Roman"/>
                <w:sz w:val="20"/>
                <w:szCs w:val="20"/>
              </w:rPr>
              <w:t>are also presented elegantly (clearly, concisely, etc.)</w:t>
            </w:r>
          </w:p>
        </w:tc>
        <w:tc>
          <w:tcPr>
            <w:tcW w:w="2575" w:type="dxa"/>
          </w:tcPr>
          <w:p w14:paraId="456708AA" w14:textId="77777777" w:rsidR="0037003D" w:rsidRPr="004351F2" w:rsidRDefault="0037003D" w:rsidP="00EF53F7">
            <w:pPr>
              <w:rPr>
                <w:sz w:val="20"/>
                <w:szCs w:val="20"/>
              </w:rPr>
            </w:pPr>
          </w:p>
          <w:p w14:paraId="1CC43621" w14:textId="28BCCEFA" w:rsidR="0037003D" w:rsidRPr="004351F2" w:rsidRDefault="00BA589D" w:rsidP="00B11773">
            <w:pPr>
              <w:rPr>
                <w:sz w:val="20"/>
                <w:szCs w:val="20"/>
              </w:rPr>
            </w:pPr>
            <w:r w:rsidRPr="004351F2">
              <w:rPr>
                <w:rFonts w:cs="Times New Roman"/>
                <w:sz w:val="20"/>
                <w:szCs w:val="20"/>
              </w:rPr>
              <w:t xml:space="preserve">Calculations </w:t>
            </w:r>
            <w:r w:rsidR="002200BB" w:rsidRPr="004351F2">
              <w:rPr>
                <w:rFonts w:cs="Times New Roman"/>
                <w:sz w:val="20"/>
                <w:szCs w:val="20"/>
              </w:rPr>
              <w:t xml:space="preserve">and measurements </w:t>
            </w:r>
            <w:r w:rsidRPr="004351F2">
              <w:rPr>
                <w:rFonts w:cs="Times New Roman"/>
                <w:sz w:val="20"/>
                <w:szCs w:val="20"/>
              </w:rPr>
              <w:t>attempted are essentially all successful and sufficiently comprehensive to solve</w:t>
            </w:r>
            <w:r w:rsidR="002200BB" w:rsidRPr="004351F2">
              <w:rPr>
                <w:rFonts w:cs="Times New Roman"/>
                <w:sz w:val="20"/>
                <w:szCs w:val="20"/>
              </w:rPr>
              <w:t xml:space="preserve"> the problem</w:t>
            </w:r>
          </w:p>
        </w:tc>
        <w:tc>
          <w:tcPr>
            <w:tcW w:w="2566" w:type="dxa"/>
          </w:tcPr>
          <w:p w14:paraId="2E5D57B2" w14:textId="77777777" w:rsidR="0037003D" w:rsidRPr="004351F2" w:rsidRDefault="0037003D" w:rsidP="00EF53F7">
            <w:pPr>
              <w:rPr>
                <w:sz w:val="20"/>
                <w:szCs w:val="20"/>
              </w:rPr>
            </w:pPr>
          </w:p>
          <w:p w14:paraId="391A7F5C" w14:textId="77777777" w:rsidR="0037003D" w:rsidRPr="004351F2" w:rsidRDefault="00BA589D" w:rsidP="00B11773">
            <w:pPr>
              <w:rPr>
                <w:rFonts w:cs="Times New Roman"/>
                <w:sz w:val="20"/>
                <w:szCs w:val="20"/>
              </w:rPr>
            </w:pPr>
            <w:r w:rsidRPr="004351F2">
              <w:rPr>
                <w:rFonts w:cs="Times New Roman"/>
                <w:sz w:val="20"/>
                <w:szCs w:val="20"/>
              </w:rPr>
              <w:t xml:space="preserve">Calculations </w:t>
            </w:r>
            <w:r w:rsidR="002200BB" w:rsidRPr="004351F2">
              <w:rPr>
                <w:rFonts w:cs="Times New Roman"/>
                <w:sz w:val="20"/>
                <w:szCs w:val="20"/>
              </w:rPr>
              <w:t xml:space="preserve">and measurements </w:t>
            </w:r>
            <w:r w:rsidRPr="004351F2">
              <w:rPr>
                <w:rFonts w:cs="Times New Roman"/>
                <w:sz w:val="20"/>
                <w:szCs w:val="20"/>
              </w:rPr>
              <w:t>attempted are either unsuccessful</w:t>
            </w:r>
            <w:r w:rsidR="002200BB" w:rsidRPr="004351F2">
              <w:rPr>
                <w:rFonts w:cs="Times New Roman"/>
                <w:sz w:val="20"/>
                <w:szCs w:val="20"/>
              </w:rPr>
              <w:t>, incorrectly selected,</w:t>
            </w:r>
            <w:r w:rsidRPr="004351F2">
              <w:rPr>
                <w:rFonts w:cs="Times New Roman"/>
                <w:sz w:val="20"/>
                <w:szCs w:val="20"/>
              </w:rPr>
              <w:t xml:space="preserve"> or represent only a portion of the calculations required to co</w:t>
            </w:r>
            <w:r w:rsidR="002200BB" w:rsidRPr="004351F2">
              <w:rPr>
                <w:rFonts w:cs="Times New Roman"/>
                <w:sz w:val="20"/>
                <w:szCs w:val="20"/>
              </w:rPr>
              <w:t>mprehensively solve the problem</w:t>
            </w:r>
          </w:p>
          <w:p w14:paraId="4DFA1AFC" w14:textId="020947F7" w:rsidR="002200BB" w:rsidRPr="004351F2" w:rsidRDefault="002200BB" w:rsidP="00B11773">
            <w:pPr>
              <w:rPr>
                <w:sz w:val="20"/>
                <w:szCs w:val="20"/>
              </w:rPr>
            </w:pPr>
          </w:p>
        </w:tc>
        <w:tc>
          <w:tcPr>
            <w:tcW w:w="2567" w:type="dxa"/>
          </w:tcPr>
          <w:p w14:paraId="5D7EE61D" w14:textId="77777777" w:rsidR="00BA589D" w:rsidRPr="004351F2" w:rsidRDefault="00BA589D" w:rsidP="002B2222">
            <w:pPr>
              <w:rPr>
                <w:rFonts w:cs="Times New Roman"/>
                <w:sz w:val="20"/>
                <w:szCs w:val="20"/>
              </w:rPr>
            </w:pPr>
          </w:p>
          <w:p w14:paraId="44461BAC" w14:textId="3E9C206D" w:rsidR="0037003D" w:rsidRPr="004351F2" w:rsidRDefault="00BA589D" w:rsidP="002B2222">
            <w:pPr>
              <w:rPr>
                <w:sz w:val="20"/>
                <w:szCs w:val="20"/>
              </w:rPr>
            </w:pPr>
            <w:r w:rsidRPr="004351F2">
              <w:rPr>
                <w:rFonts w:cs="Times New Roman"/>
                <w:sz w:val="20"/>
                <w:szCs w:val="20"/>
              </w:rPr>
              <w:t>Calculations are attempted but are both unsucce</w:t>
            </w:r>
            <w:r w:rsidR="002200BB" w:rsidRPr="004351F2">
              <w:rPr>
                <w:rFonts w:cs="Times New Roman"/>
                <w:sz w:val="20"/>
                <w:szCs w:val="20"/>
              </w:rPr>
              <w:t>ssful and are not comprehensive</w:t>
            </w:r>
          </w:p>
        </w:tc>
      </w:tr>
      <w:tr w:rsidR="000A3516" w:rsidRPr="004351F2" w14:paraId="2AB0CADA" w14:textId="77777777" w:rsidTr="00BA589D">
        <w:trPr>
          <w:jc w:val="center"/>
        </w:trPr>
        <w:tc>
          <w:tcPr>
            <w:tcW w:w="2561" w:type="dxa"/>
          </w:tcPr>
          <w:p w14:paraId="34FB5EEA" w14:textId="77777777" w:rsidR="00745EB3" w:rsidRPr="004351F2" w:rsidRDefault="00745EB3">
            <w:pPr>
              <w:rPr>
                <w:b/>
                <w:sz w:val="20"/>
                <w:szCs w:val="20"/>
                <w:highlight w:val="yellow"/>
              </w:rPr>
            </w:pPr>
          </w:p>
          <w:p w14:paraId="2A74F892" w14:textId="35D40F24" w:rsidR="00BB5AB4" w:rsidRPr="004351F2" w:rsidRDefault="00BA589D">
            <w:pPr>
              <w:rPr>
                <w:i/>
                <w:sz w:val="20"/>
                <w:szCs w:val="20"/>
              </w:rPr>
            </w:pPr>
            <w:r w:rsidRPr="004351F2">
              <w:rPr>
                <w:b/>
                <w:sz w:val="20"/>
                <w:szCs w:val="20"/>
              </w:rPr>
              <w:t>Applying quantitative methods and using the resulting evidence to solve problems</w:t>
            </w:r>
          </w:p>
        </w:tc>
        <w:tc>
          <w:tcPr>
            <w:tcW w:w="2681" w:type="dxa"/>
          </w:tcPr>
          <w:p w14:paraId="6470D067" w14:textId="77777777" w:rsidR="00745EB3" w:rsidRPr="004351F2" w:rsidRDefault="00745EB3" w:rsidP="00BB5AB4">
            <w:pPr>
              <w:pStyle w:val="Standard"/>
              <w:rPr>
                <w:rFonts w:asciiTheme="minorHAnsi" w:hAnsiTheme="minorHAnsi"/>
                <w:sz w:val="20"/>
                <w:szCs w:val="20"/>
              </w:rPr>
            </w:pPr>
          </w:p>
          <w:p w14:paraId="56F7F7AD" w14:textId="35165BFF" w:rsidR="00BB5AB4" w:rsidRPr="004351F2" w:rsidRDefault="002200BB" w:rsidP="005F3AA7">
            <w:pPr>
              <w:rPr>
                <w:sz w:val="20"/>
                <w:szCs w:val="20"/>
              </w:rPr>
            </w:pPr>
            <w:r w:rsidRPr="004351F2">
              <w:rPr>
                <w:rFonts w:cs="Times New Roman"/>
                <w:sz w:val="20"/>
                <w:szCs w:val="20"/>
              </w:rPr>
              <w:t>Uses the quantitative analysis of data as the basis for deep and thoughtful judgments, drawing insightful, carefully qualified conclusions from this work</w:t>
            </w:r>
          </w:p>
        </w:tc>
        <w:tc>
          <w:tcPr>
            <w:tcW w:w="2575" w:type="dxa"/>
          </w:tcPr>
          <w:p w14:paraId="01E59625" w14:textId="77777777" w:rsidR="00745EB3" w:rsidRPr="004351F2" w:rsidRDefault="00745EB3" w:rsidP="00BB5AB4">
            <w:pPr>
              <w:pStyle w:val="Standard"/>
              <w:rPr>
                <w:rFonts w:asciiTheme="minorHAnsi" w:hAnsiTheme="minorHAnsi"/>
                <w:sz w:val="20"/>
                <w:szCs w:val="20"/>
              </w:rPr>
            </w:pPr>
          </w:p>
          <w:p w14:paraId="5FBDCB4D" w14:textId="760C5025" w:rsidR="00BB5AB4" w:rsidRPr="004351F2" w:rsidRDefault="002200BB" w:rsidP="00B11773">
            <w:pPr>
              <w:rPr>
                <w:sz w:val="20"/>
                <w:szCs w:val="20"/>
              </w:rPr>
            </w:pPr>
            <w:r w:rsidRPr="004351F2">
              <w:rPr>
                <w:rFonts w:cs="Times New Roman"/>
                <w:sz w:val="20"/>
                <w:szCs w:val="20"/>
              </w:rPr>
              <w:t>Uses the quantitative analysis of data as the basis for competent judgments, drawing reasonable and appropriately qualified conclusions from this work</w:t>
            </w:r>
          </w:p>
        </w:tc>
        <w:tc>
          <w:tcPr>
            <w:tcW w:w="2566" w:type="dxa"/>
          </w:tcPr>
          <w:p w14:paraId="0F2D3C38" w14:textId="77777777" w:rsidR="00745EB3" w:rsidRPr="004351F2" w:rsidRDefault="00745EB3">
            <w:pPr>
              <w:pStyle w:val="Standard"/>
              <w:rPr>
                <w:rFonts w:asciiTheme="minorHAnsi" w:hAnsiTheme="minorHAnsi"/>
                <w:sz w:val="20"/>
                <w:szCs w:val="20"/>
              </w:rPr>
            </w:pPr>
          </w:p>
          <w:p w14:paraId="0EF4E33E" w14:textId="77777777" w:rsidR="00BB5AB4" w:rsidRPr="004351F2" w:rsidRDefault="002200BB" w:rsidP="001239EA">
            <w:pPr>
              <w:pStyle w:val="Standard"/>
              <w:rPr>
                <w:rFonts w:asciiTheme="minorHAnsi" w:hAnsiTheme="minorHAnsi"/>
                <w:sz w:val="20"/>
                <w:szCs w:val="20"/>
              </w:rPr>
            </w:pPr>
            <w:r w:rsidRPr="004351F2">
              <w:rPr>
                <w:rFonts w:asciiTheme="minorHAnsi" w:hAnsiTheme="minorHAnsi"/>
                <w:sz w:val="20"/>
                <w:szCs w:val="20"/>
              </w:rPr>
              <w:t>Uses the quantitative analysis of data as the basis for workmanlike (without inspiration or nuance, ordinary) judgments, drawing plaus</w:t>
            </w:r>
            <w:r w:rsidR="00DB74E5" w:rsidRPr="004351F2">
              <w:rPr>
                <w:rFonts w:asciiTheme="minorHAnsi" w:hAnsiTheme="minorHAnsi"/>
                <w:sz w:val="20"/>
                <w:szCs w:val="20"/>
              </w:rPr>
              <w:t>ible conclusions from this work</w:t>
            </w:r>
          </w:p>
          <w:p w14:paraId="556BE265" w14:textId="1B7FBFFC" w:rsidR="00DB74E5" w:rsidRPr="004351F2" w:rsidRDefault="00DB74E5" w:rsidP="001239EA">
            <w:pPr>
              <w:pStyle w:val="Standard"/>
              <w:rPr>
                <w:rFonts w:asciiTheme="minorHAnsi" w:hAnsiTheme="minorHAnsi"/>
                <w:sz w:val="20"/>
                <w:szCs w:val="20"/>
              </w:rPr>
            </w:pPr>
          </w:p>
        </w:tc>
        <w:tc>
          <w:tcPr>
            <w:tcW w:w="2567" w:type="dxa"/>
          </w:tcPr>
          <w:p w14:paraId="26D9236C" w14:textId="77777777" w:rsidR="00745EB3" w:rsidRPr="004351F2" w:rsidRDefault="00745EB3">
            <w:pPr>
              <w:pStyle w:val="Standard"/>
              <w:rPr>
                <w:rFonts w:asciiTheme="minorHAnsi" w:hAnsiTheme="minorHAnsi"/>
                <w:sz w:val="20"/>
                <w:szCs w:val="20"/>
              </w:rPr>
            </w:pPr>
          </w:p>
          <w:p w14:paraId="73309AD5" w14:textId="5DBF46D1" w:rsidR="00BB5AB4" w:rsidRPr="004351F2" w:rsidRDefault="002200BB" w:rsidP="001239EA">
            <w:pPr>
              <w:pStyle w:val="Standard"/>
              <w:rPr>
                <w:rFonts w:asciiTheme="minorHAnsi" w:hAnsiTheme="minorHAnsi"/>
                <w:sz w:val="20"/>
                <w:szCs w:val="20"/>
              </w:rPr>
            </w:pPr>
            <w:r w:rsidRPr="004351F2">
              <w:rPr>
                <w:rFonts w:asciiTheme="minorHAnsi" w:hAnsiTheme="minorHAnsi"/>
                <w:sz w:val="20"/>
                <w:szCs w:val="20"/>
              </w:rPr>
              <w:t>Uses the quantitative analysis of data as the basis for tentative, basic judgments, although is hesitant or uncertain about dra</w:t>
            </w:r>
            <w:r w:rsidR="00DB74E5" w:rsidRPr="004351F2">
              <w:rPr>
                <w:rFonts w:asciiTheme="minorHAnsi" w:hAnsiTheme="minorHAnsi"/>
                <w:sz w:val="20"/>
                <w:szCs w:val="20"/>
              </w:rPr>
              <w:t>wing conclusions from this work</w:t>
            </w:r>
          </w:p>
        </w:tc>
      </w:tr>
      <w:tr w:rsidR="000A3516" w:rsidRPr="004351F2" w14:paraId="2545027F" w14:textId="77777777" w:rsidTr="00BA589D">
        <w:trPr>
          <w:jc w:val="center"/>
        </w:trPr>
        <w:tc>
          <w:tcPr>
            <w:tcW w:w="2561" w:type="dxa"/>
          </w:tcPr>
          <w:p w14:paraId="5B62CF35" w14:textId="63BE79F1" w:rsidR="00745EB3" w:rsidRPr="004351F2" w:rsidRDefault="00745EB3">
            <w:pPr>
              <w:rPr>
                <w:b/>
                <w:sz w:val="20"/>
                <w:szCs w:val="20"/>
              </w:rPr>
            </w:pPr>
          </w:p>
          <w:p w14:paraId="2C4D0EB6" w14:textId="0E771FBC" w:rsidR="00BB5AB4" w:rsidRPr="004351F2" w:rsidRDefault="00BA589D">
            <w:pPr>
              <w:rPr>
                <w:b/>
                <w:sz w:val="20"/>
                <w:szCs w:val="20"/>
              </w:rPr>
            </w:pPr>
            <w:r w:rsidRPr="004351F2">
              <w:rPr>
                <w:b/>
                <w:sz w:val="20"/>
                <w:szCs w:val="20"/>
              </w:rPr>
              <w:t xml:space="preserve">Reading, interpreting, </w:t>
            </w:r>
            <w:r w:rsidR="004C3AF1" w:rsidRPr="004351F2">
              <w:rPr>
                <w:b/>
                <w:sz w:val="20"/>
                <w:szCs w:val="20"/>
              </w:rPr>
              <w:t>tables, graphs, charts, and other representations of quantitative material.</w:t>
            </w:r>
          </w:p>
          <w:p w14:paraId="233A2660" w14:textId="77777777" w:rsidR="00BB5AB4" w:rsidRPr="004351F2" w:rsidRDefault="00BB5AB4">
            <w:pPr>
              <w:rPr>
                <w:b/>
                <w:sz w:val="20"/>
                <w:szCs w:val="20"/>
              </w:rPr>
            </w:pPr>
          </w:p>
        </w:tc>
        <w:tc>
          <w:tcPr>
            <w:tcW w:w="2681" w:type="dxa"/>
          </w:tcPr>
          <w:p w14:paraId="08DEE494" w14:textId="77777777" w:rsidR="00745EB3" w:rsidRPr="004351F2" w:rsidRDefault="00745EB3">
            <w:pPr>
              <w:rPr>
                <w:sz w:val="20"/>
                <w:szCs w:val="20"/>
              </w:rPr>
            </w:pPr>
          </w:p>
          <w:p w14:paraId="3F3C5AD2" w14:textId="2AFFE3F7" w:rsidR="00BB5AB4" w:rsidRPr="004351F2" w:rsidRDefault="002200BB" w:rsidP="005F3AA7">
            <w:pPr>
              <w:rPr>
                <w:rFonts w:cs="Times New Roman"/>
                <w:i/>
                <w:iCs/>
                <w:sz w:val="20"/>
                <w:szCs w:val="20"/>
              </w:rPr>
            </w:pPr>
            <w:r w:rsidRPr="004351F2">
              <w:rPr>
                <w:rFonts w:cs="Times New Roman"/>
                <w:sz w:val="20"/>
                <w:szCs w:val="20"/>
              </w:rPr>
              <w:t xml:space="preserve">Provides accurate explanations of information presented in mathematical forms. Makes appropriate inferences based on that information. </w:t>
            </w:r>
            <w:r w:rsidRPr="004351F2">
              <w:rPr>
                <w:rFonts w:cs="Times New Roman"/>
                <w:i/>
                <w:iCs/>
                <w:sz w:val="20"/>
                <w:szCs w:val="20"/>
              </w:rPr>
              <w:t>For example, accurately explains the trend data shown in a graph and makes reasonable predictions regarding what the d</w:t>
            </w:r>
            <w:r w:rsidR="00DB74E5" w:rsidRPr="004351F2">
              <w:rPr>
                <w:rFonts w:cs="Times New Roman"/>
                <w:i/>
                <w:iCs/>
                <w:sz w:val="20"/>
                <w:szCs w:val="20"/>
              </w:rPr>
              <w:t>ata suggest about future events</w:t>
            </w:r>
          </w:p>
          <w:p w14:paraId="69F3C1FA" w14:textId="1836BA8E" w:rsidR="00DB74E5" w:rsidRPr="004351F2" w:rsidRDefault="00DB74E5" w:rsidP="005F3AA7">
            <w:pPr>
              <w:rPr>
                <w:sz w:val="20"/>
                <w:szCs w:val="20"/>
              </w:rPr>
            </w:pPr>
          </w:p>
        </w:tc>
        <w:tc>
          <w:tcPr>
            <w:tcW w:w="2575" w:type="dxa"/>
          </w:tcPr>
          <w:p w14:paraId="56B7D068" w14:textId="77777777" w:rsidR="004C3AF1" w:rsidRDefault="004C3AF1" w:rsidP="005F3AA7">
            <w:pPr>
              <w:rPr>
                <w:sz w:val="20"/>
                <w:szCs w:val="20"/>
              </w:rPr>
            </w:pPr>
          </w:p>
          <w:p w14:paraId="1D00F1F8" w14:textId="64C314C0" w:rsidR="00BB5AB4" w:rsidRPr="004351F2" w:rsidRDefault="002200BB" w:rsidP="005F3AA7">
            <w:pPr>
              <w:rPr>
                <w:sz w:val="20"/>
                <w:szCs w:val="20"/>
              </w:rPr>
            </w:pPr>
            <w:r w:rsidRPr="004351F2">
              <w:rPr>
                <w:rFonts w:cs="Times New Roman"/>
                <w:sz w:val="20"/>
                <w:szCs w:val="20"/>
              </w:rPr>
              <w:t xml:space="preserve">Provides accurate explanations of information presented in mathematical forms. </w:t>
            </w:r>
            <w:r w:rsidRPr="004351F2">
              <w:rPr>
                <w:rFonts w:cs="Times New Roman"/>
                <w:i/>
                <w:iCs/>
                <w:sz w:val="20"/>
                <w:szCs w:val="20"/>
              </w:rPr>
              <w:t xml:space="preserve">For instance, accurately explains </w:t>
            </w:r>
            <w:r w:rsidR="00DB74E5" w:rsidRPr="004351F2">
              <w:rPr>
                <w:rFonts w:cs="Times New Roman"/>
                <w:i/>
                <w:iCs/>
                <w:sz w:val="20"/>
                <w:szCs w:val="20"/>
              </w:rPr>
              <w:t>the trend data shown in a graph</w:t>
            </w:r>
          </w:p>
        </w:tc>
        <w:tc>
          <w:tcPr>
            <w:tcW w:w="2566" w:type="dxa"/>
          </w:tcPr>
          <w:p w14:paraId="484F7848" w14:textId="77777777" w:rsidR="00745EB3" w:rsidRPr="004351F2" w:rsidRDefault="00745EB3" w:rsidP="00BB5AB4">
            <w:pPr>
              <w:rPr>
                <w:sz w:val="20"/>
                <w:szCs w:val="20"/>
              </w:rPr>
            </w:pPr>
          </w:p>
          <w:p w14:paraId="2BC63D0C" w14:textId="35D948E2" w:rsidR="00BB5AB4" w:rsidRPr="004351F2" w:rsidRDefault="002200BB" w:rsidP="005F3AA7">
            <w:pPr>
              <w:rPr>
                <w:sz w:val="20"/>
                <w:szCs w:val="20"/>
              </w:rPr>
            </w:pPr>
            <w:r w:rsidRPr="004351F2">
              <w:rPr>
                <w:rFonts w:cs="Times New Roman"/>
                <w:sz w:val="20"/>
                <w:szCs w:val="20"/>
              </w:rPr>
              <w:t xml:space="preserve">Provides somewhat accurate explanations of information presented in mathematical forms, but occasionally makes minor errors related to computations or units. </w:t>
            </w:r>
            <w:r w:rsidRPr="004351F2">
              <w:rPr>
                <w:rFonts w:cs="Times New Roman"/>
                <w:i/>
                <w:iCs/>
                <w:sz w:val="20"/>
                <w:szCs w:val="20"/>
              </w:rPr>
              <w:t>For instance, accurately explains trend data shown in a graph, but may miscalculate the slope of the trend li</w:t>
            </w:r>
            <w:r w:rsidR="00DB74E5" w:rsidRPr="004351F2">
              <w:rPr>
                <w:rFonts w:cs="Times New Roman"/>
                <w:i/>
                <w:iCs/>
                <w:sz w:val="20"/>
                <w:szCs w:val="20"/>
              </w:rPr>
              <w:t>ne</w:t>
            </w:r>
          </w:p>
        </w:tc>
        <w:tc>
          <w:tcPr>
            <w:tcW w:w="2567" w:type="dxa"/>
          </w:tcPr>
          <w:p w14:paraId="6F20B57F" w14:textId="77777777" w:rsidR="00745EB3" w:rsidRPr="004351F2" w:rsidRDefault="00745EB3" w:rsidP="00BB5AB4">
            <w:pPr>
              <w:rPr>
                <w:sz w:val="20"/>
                <w:szCs w:val="20"/>
              </w:rPr>
            </w:pPr>
          </w:p>
          <w:p w14:paraId="54DFB58F" w14:textId="6BCDCAE2" w:rsidR="00BB5AB4" w:rsidRPr="004351F2" w:rsidRDefault="002200BB" w:rsidP="00654E55">
            <w:pPr>
              <w:rPr>
                <w:sz w:val="20"/>
                <w:szCs w:val="20"/>
              </w:rPr>
            </w:pPr>
            <w:r w:rsidRPr="004351F2">
              <w:rPr>
                <w:rFonts w:cs="Times New Roman"/>
                <w:sz w:val="20"/>
                <w:szCs w:val="20"/>
              </w:rPr>
              <w:t xml:space="preserve">Attempts to explain information presented in mathematical forms, but draws incorrect conclusions about what the information means. </w:t>
            </w:r>
            <w:r w:rsidRPr="004351F2">
              <w:rPr>
                <w:rFonts w:cs="Times New Roman"/>
                <w:i/>
                <w:iCs/>
                <w:sz w:val="20"/>
                <w:szCs w:val="20"/>
              </w:rPr>
              <w:t xml:space="preserve">For example, attempts to explain the trend data shown in a graph, but will frequently misinterpret the nature of that trend, perhaps by confusing positive and negative </w:t>
            </w:r>
            <w:r w:rsidR="00DB74E5" w:rsidRPr="004351F2">
              <w:rPr>
                <w:rFonts w:cs="Times New Roman"/>
                <w:i/>
                <w:iCs/>
                <w:sz w:val="20"/>
                <w:szCs w:val="20"/>
              </w:rPr>
              <w:t>trends</w:t>
            </w:r>
          </w:p>
        </w:tc>
      </w:tr>
      <w:tr w:rsidR="002200BB" w:rsidRPr="004351F2" w14:paraId="62667A4A" w14:textId="77777777" w:rsidTr="00BA589D">
        <w:trPr>
          <w:trHeight w:val="90"/>
          <w:jc w:val="center"/>
        </w:trPr>
        <w:tc>
          <w:tcPr>
            <w:tcW w:w="2561" w:type="dxa"/>
          </w:tcPr>
          <w:p w14:paraId="50AB1922" w14:textId="77777777" w:rsidR="002200BB" w:rsidRDefault="002200BB">
            <w:pPr>
              <w:rPr>
                <w:b/>
                <w:sz w:val="20"/>
                <w:szCs w:val="20"/>
                <w:highlight w:val="yellow"/>
              </w:rPr>
            </w:pPr>
          </w:p>
          <w:p w14:paraId="3F7715B0" w14:textId="52D6A003" w:rsidR="005A3D49" w:rsidRPr="004351F2" w:rsidRDefault="004C3AF1">
            <w:pPr>
              <w:rPr>
                <w:b/>
                <w:sz w:val="20"/>
                <w:szCs w:val="20"/>
                <w:highlight w:val="yellow"/>
              </w:rPr>
            </w:pPr>
            <w:r>
              <w:rPr>
                <w:b/>
                <w:sz w:val="20"/>
                <w:szCs w:val="20"/>
              </w:rPr>
              <w:lastRenderedPageBreak/>
              <w:t>C</w:t>
            </w:r>
            <w:r w:rsidRPr="004351F2">
              <w:rPr>
                <w:b/>
                <w:sz w:val="20"/>
                <w:szCs w:val="20"/>
              </w:rPr>
              <w:t>onstructing tables, graphs, charts, and other representations of quantitative material.</w:t>
            </w:r>
          </w:p>
        </w:tc>
        <w:tc>
          <w:tcPr>
            <w:tcW w:w="2681" w:type="dxa"/>
          </w:tcPr>
          <w:p w14:paraId="375312E5" w14:textId="77777777" w:rsidR="004C3AF1" w:rsidRDefault="004C3AF1" w:rsidP="00EF53F7">
            <w:pPr>
              <w:pStyle w:val="Standard"/>
              <w:rPr>
                <w:rFonts w:asciiTheme="minorHAnsi" w:hAnsiTheme="minorHAnsi"/>
                <w:sz w:val="20"/>
                <w:szCs w:val="20"/>
              </w:rPr>
            </w:pPr>
          </w:p>
          <w:p w14:paraId="216649E4" w14:textId="50ED3690" w:rsidR="002200BB" w:rsidRPr="004351F2" w:rsidRDefault="002200BB" w:rsidP="00EF53F7">
            <w:pPr>
              <w:pStyle w:val="Standard"/>
              <w:rPr>
                <w:rFonts w:asciiTheme="minorHAnsi" w:hAnsiTheme="minorHAnsi"/>
                <w:sz w:val="20"/>
                <w:szCs w:val="20"/>
              </w:rPr>
            </w:pPr>
            <w:r w:rsidRPr="004351F2">
              <w:rPr>
                <w:rFonts w:asciiTheme="minorHAnsi" w:hAnsiTheme="minorHAnsi"/>
                <w:sz w:val="20"/>
                <w:szCs w:val="20"/>
              </w:rPr>
              <w:lastRenderedPageBreak/>
              <w:t xml:space="preserve"> Skillfully converts relevant information into an insightful mathematical portrayal in a way that contributes to a </w:t>
            </w:r>
            <w:r w:rsidR="00DB74E5" w:rsidRPr="004351F2">
              <w:rPr>
                <w:rFonts w:asciiTheme="minorHAnsi" w:hAnsiTheme="minorHAnsi"/>
                <w:sz w:val="20"/>
                <w:szCs w:val="20"/>
              </w:rPr>
              <w:t>further or deeper understanding</w:t>
            </w:r>
          </w:p>
          <w:p w14:paraId="5687DDD9" w14:textId="7D1B750C" w:rsidR="00DB74E5" w:rsidRPr="004351F2" w:rsidRDefault="00DB74E5" w:rsidP="00EF53F7">
            <w:pPr>
              <w:pStyle w:val="Standard"/>
              <w:rPr>
                <w:rFonts w:asciiTheme="minorHAnsi" w:hAnsiTheme="minorHAnsi"/>
                <w:sz w:val="20"/>
                <w:szCs w:val="20"/>
              </w:rPr>
            </w:pPr>
          </w:p>
        </w:tc>
        <w:tc>
          <w:tcPr>
            <w:tcW w:w="2575" w:type="dxa"/>
          </w:tcPr>
          <w:p w14:paraId="49E3B853" w14:textId="77777777" w:rsidR="00DB74E5" w:rsidRPr="004351F2" w:rsidRDefault="00DB74E5" w:rsidP="00EF53F7">
            <w:pPr>
              <w:pStyle w:val="Standard"/>
              <w:rPr>
                <w:rFonts w:asciiTheme="minorHAnsi" w:hAnsiTheme="minorHAnsi"/>
                <w:sz w:val="20"/>
                <w:szCs w:val="20"/>
              </w:rPr>
            </w:pPr>
          </w:p>
          <w:p w14:paraId="3556B0AA" w14:textId="0908BA34" w:rsidR="002200BB" w:rsidRPr="004351F2" w:rsidRDefault="002200BB" w:rsidP="00EF53F7">
            <w:pPr>
              <w:pStyle w:val="Standard"/>
              <w:rPr>
                <w:rFonts w:asciiTheme="minorHAnsi" w:hAnsiTheme="minorHAnsi"/>
                <w:sz w:val="20"/>
                <w:szCs w:val="20"/>
              </w:rPr>
            </w:pPr>
            <w:r w:rsidRPr="004351F2">
              <w:rPr>
                <w:rFonts w:asciiTheme="minorHAnsi" w:hAnsiTheme="minorHAnsi"/>
                <w:sz w:val="20"/>
                <w:szCs w:val="20"/>
              </w:rPr>
              <w:lastRenderedPageBreak/>
              <w:t>Competently converts relevant information into an appropriate and</w:t>
            </w:r>
            <w:r w:rsidR="00DB74E5" w:rsidRPr="004351F2">
              <w:rPr>
                <w:rFonts w:asciiTheme="minorHAnsi" w:hAnsiTheme="minorHAnsi"/>
                <w:sz w:val="20"/>
                <w:szCs w:val="20"/>
              </w:rPr>
              <w:t xml:space="preserve"> desired mathematical portrayal</w:t>
            </w:r>
          </w:p>
        </w:tc>
        <w:tc>
          <w:tcPr>
            <w:tcW w:w="2566" w:type="dxa"/>
          </w:tcPr>
          <w:p w14:paraId="151EB40D" w14:textId="77777777" w:rsidR="00DB74E5" w:rsidRPr="004351F2" w:rsidRDefault="00DB74E5" w:rsidP="002200BB">
            <w:pPr>
              <w:autoSpaceDE w:val="0"/>
              <w:autoSpaceDN w:val="0"/>
              <w:adjustRightInd w:val="0"/>
              <w:rPr>
                <w:rFonts w:cs="Times New Roman"/>
                <w:sz w:val="20"/>
                <w:szCs w:val="20"/>
              </w:rPr>
            </w:pPr>
          </w:p>
          <w:p w14:paraId="2835AFBE" w14:textId="2EDC1CA8" w:rsidR="002200BB" w:rsidRPr="004351F2" w:rsidRDefault="002200BB" w:rsidP="002200BB">
            <w:pPr>
              <w:autoSpaceDE w:val="0"/>
              <w:autoSpaceDN w:val="0"/>
              <w:adjustRightInd w:val="0"/>
              <w:rPr>
                <w:rFonts w:cs="Times New Roman"/>
                <w:sz w:val="20"/>
                <w:szCs w:val="20"/>
              </w:rPr>
            </w:pPr>
            <w:r w:rsidRPr="004351F2">
              <w:rPr>
                <w:rFonts w:cs="Times New Roman"/>
                <w:sz w:val="20"/>
                <w:szCs w:val="20"/>
              </w:rPr>
              <w:lastRenderedPageBreak/>
              <w:t>Completes conversion of information but</w:t>
            </w:r>
          </w:p>
          <w:p w14:paraId="59C433A3" w14:textId="060B6A41" w:rsidR="002200BB" w:rsidRPr="004351F2" w:rsidRDefault="002200BB" w:rsidP="002200BB">
            <w:pPr>
              <w:rPr>
                <w:sz w:val="20"/>
                <w:szCs w:val="20"/>
              </w:rPr>
            </w:pPr>
            <w:r w:rsidRPr="004351F2">
              <w:rPr>
                <w:rFonts w:cs="Times New Roman"/>
                <w:sz w:val="20"/>
                <w:szCs w:val="20"/>
              </w:rPr>
              <w:t>resulting mathematical portrayal is only pa</w:t>
            </w:r>
            <w:r w:rsidR="00DB74E5" w:rsidRPr="004351F2">
              <w:rPr>
                <w:rFonts w:cs="Times New Roman"/>
                <w:sz w:val="20"/>
                <w:szCs w:val="20"/>
              </w:rPr>
              <w:t>rtially appropriate or accurate</w:t>
            </w:r>
          </w:p>
        </w:tc>
        <w:tc>
          <w:tcPr>
            <w:tcW w:w="2567" w:type="dxa"/>
          </w:tcPr>
          <w:p w14:paraId="55EE03E7" w14:textId="77777777" w:rsidR="00DB74E5" w:rsidRPr="004351F2" w:rsidRDefault="00DB74E5" w:rsidP="00EF53F7">
            <w:pPr>
              <w:rPr>
                <w:rFonts w:cs="Times New Roman"/>
                <w:sz w:val="20"/>
                <w:szCs w:val="20"/>
              </w:rPr>
            </w:pPr>
          </w:p>
          <w:p w14:paraId="15642DC3" w14:textId="4D44229C" w:rsidR="002200BB" w:rsidRPr="004351F2" w:rsidRDefault="00DB74E5" w:rsidP="00EF53F7">
            <w:pPr>
              <w:rPr>
                <w:rFonts w:cs="Times New Roman"/>
                <w:sz w:val="20"/>
                <w:szCs w:val="20"/>
              </w:rPr>
            </w:pPr>
            <w:r w:rsidRPr="004351F2">
              <w:rPr>
                <w:rFonts w:cs="Times New Roman"/>
                <w:sz w:val="20"/>
                <w:szCs w:val="20"/>
              </w:rPr>
              <w:lastRenderedPageBreak/>
              <w:t>Is unable to complete conversion of information or completes conversion of information but resulting mathematical portrayal is inappropriate or inaccurate</w:t>
            </w:r>
          </w:p>
          <w:p w14:paraId="56FDD1CD" w14:textId="5070E092" w:rsidR="00DB74E5" w:rsidRPr="004351F2" w:rsidRDefault="00DB74E5" w:rsidP="00EF53F7">
            <w:pPr>
              <w:rPr>
                <w:sz w:val="20"/>
                <w:szCs w:val="20"/>
              </w:rPr>
            </w:pPr>
          </w:p>
        </w:tc>
      </w:tr>
      <w:tr w:rsidR="00DB74E5" w:rsidRPr="004351F2" w14:paraId="7CB47F05" w14:textId="77777777" w:rsidTr="00BA589D">
        <w:trPr>
          <w:trHeight w:val="90"/>
          <w:jc w:val="center"/>
        </w:trPr>
        <w:tc>
          <w:tcPr>
            <w:tcW w:w="2561" w:type="dxa"/>
          </w:tcPr>
          <w:p w14:paraId="637D89EB" w14:textId="6C2D8578" w:rsidR="00DB74E5" w:rsidRPr="004351F2" w:rsidRDefault="00DB74E5" w:rsidP="00DB74E5">
            <w:pPr>
              <w:rPr>
                <w:b/>
                <w:sz w:val="20"/>
                <w:szCs w:val="20"/>
                <w:highlight w:val="yellow"/>
              </w:rPr>
            </w:pPr>
          </w:p>
          <w:p w14:paraId="6220D6A8" w14:textId="0AE74214" w:rsidR="00DB74E5" w:rsidRPr="004351F2" w:rsidRDefault="00DB74E5" w:rsidP="00DB74E5">
            <w:pPr>
              <w:rPr>
                <w:b/>
                <w:i/>
                <w:sz w:val="20"/>
                <w:szCs w:val="20"/>
              </w:rPr>
            </w:pPr>
            <w:r w:rsidRPr="004351F2">
              <w:rPr>
                <w:rFonts w:cs="Times New Roman"/>
                <w:b/>
                <w:sz w:val="20"/>
                <w:szCs w:val="20"/>
              </w:rPr>
              <w:t>Critically evaluating quantitative methodologies and data</w:t>
            </w:r>
            <w:r w:rsidRPr="004351F2">
              <w:rPr>
                <w:b/>
                <w:sz w:val="20"/>
                <w:szCs w:val="20"/>
              </w:rPr>
              <w:t>.</w:t>
            </w:r>
          </w:p>
        </w:tc>
        <w:tc>
          <w:tcPr>
            <w:tcW w:w="2681" w:type="dxa"/>
          </w:tcPr>
          <w:p w14:paraId="20D7E684" w14:textId="77777777" w:rsidR="00DB74E5" w:rsidRPr="004351F2" w:rsidRDefault="00DB74E5" w:rsidP="00DB74E5">
            <w:pPr>
              <w:pStyle w:val="Standard"/>
              <w:rPr>
                <w:rFonts w:asciiTheme="minorHAnsi" w:hAnsiTheme="minorHAnsi"/>
                <w:sz w:val="20"/>
                <w:szCs w:val="20"/>
              </w:rPr>
            </w:pPr>
          </w:p>
          <w:p w14:paraId="465A3B7C" w14:textId="77777777" w:rsidR="00DB74E5" w:rsidRPr="004351F2" w:rsidRDefault="00DB74E5" w:rsidP="00DB74E5">
            <w:pPr>
              <w:pStyle w:val="Standard"/>
              <w:rPr>
                <w:rFonts w:asciiTheme="minorHAnsi" w:hAnsiTheme="minorHAnsi"/>
                <w:sz w:val="20"/>
                <w:szCs w:val="20"/>
              </w:rPr>
            </w:pPr>
            <w:r w:rsidRPr="004351F2">
              <w:rPr>
                <w:rFonts w:asciiTheme="minorHAnsi" w:hAnsiTheme="minorHAnsi"/>
                <w:sz w:val="20"/>
                <w:szCs w:val="20"/>
              </w:rPr>
              <w:t>Explicitly describes assumptions and provides compelling rationale for why each assumption is appropriate. Shows awareness that confidence in final conclusions is limited by the accuracy of the assumptions</w:t>
            </w:r>
          </w:p>
          <w:p w14:paraId="12777BE0" w14:textId="17983C9E" w:rsidR="00DB74E5" w:rsidRPr="004351F2" w:rsidRDefault="00DB74E5" w:rsidP="00DB74E5">
            <w:pPr>
              <w:pStyle w:val="Standard"/>
              <w:rPr>
                <w:rFonts w:asciiTheme="minorHAnsi" w:hAnsiTheme="minorHAnsi"/>
                <w:sz w:val="20"/>
                <w:szCs w:val="20"/>
              </w:rPr>
            </w:pPr>
          </w:p>
        </w:tc>
        <w:tc>
          <w:tcPr>
            <w:tcW w:w="2575" w:type="dxa"/>
          </w:tcPr>
          <w:p w14:paraId="0CD7F700" w14:textId="77777777" w:rsidR="00DB74E5" w:rsidRPr="004351F2" w:rsidRDefault="00DB74E5" w:rsidP="00DB74E5">
            <w:pPr>
              <w:pStyle w:val="Standard"/>
              <w:rPr>
                <w:rFonts w:asciiTheme="minorHAnsi" w:hAnsiTheme="minorHAnsi"/>
                <w:sz w:val="20"/>
                <w:szCs w:val="20"/>
              </w:rPr>
            </w:pPr>
          </w:p>
          <w:p w14:paraId="542B7E6F" w14:textId="28C03384" w:rsidR="00DB74E5" w:rsidRPr="004351F2" w:rsidRDefault="00DB74E5" w:rsidP="00DB74E5">
            <w:pPr>
              <w:pStyle w:val="Standard"/>
              <w:rPr>
                <w:rFonts w:asciiTheme="minorHAnsi" w:hAnsiTheme="minorHAnsi"/>
                <w:sz w:val="20"/>
                <w:szCs w:val="20"/>
              </w:rPr>
            </w:pPr>
            <w:r w:rsidRPr="004351F2">
              <w:rPr>
                <w:rFonts w:asciiTheme="minorHAnsi" w:hAnsiTheme="minorHAnsi"/>
                <w:sz w:val="20"/>
                <w:szCs w:val="20"/>
              </w:rPr>
              <w:t>Explicitly describes assumptions and provides compelling rationale for why assumptions are appropriate</w:t>
            </w:r>
          </w:p>
        </w:tc>
        <w:tc>
          <w:tcPr>
            <w:tcW w:w="2566" w:type="dxa"/>
          </w:tcPr>
          <w:p w14:paraId="71D616EF" w14:textId="77777777" w:rsidR="00DB74E5" w:rsidRPr="004351F2" w:rsidRDefault="00DB74E5" w:rsidP="00DB74E5">
            <w:pPr>
              <w:rPr>
                <w:rFonts w:cs="Times New Roman"/>
                <w:sz w:val="20"/>
                <w:szCs w:val="20"/>
              </w:rPr>
            </w:pPr>
          </w:p>
          <w:p w14:paraId="405757F5" w14:textId="3DF102A3" w:rsidR="00DB74E5" w:rsidRPr="004351F2" w:rsidRDefault="00DB74E5" w:rsidP="00DB74E5">
            <w:pPr>
              <w:rPr>
                <w:rFonts w:cs="Times New Roman"/>
                <w:sz w:val="20"/>
                <w:szCs w:val="20"/>
              </w:rPr>
            </w:pPr>
            <w:r w:rsidRPr="004351F2">
              <w:rPr>
                <w:rFonts w:cs="Times New Roman"/>
                <w:sz w:val="20"/>
                <w:szCs w:val="20"/>
              </w:rPr>
              <w:t>Explicitly describes assumptions</w:t>
            </w:r>
          </w:p>
          <w:p w14:paraId="0C1A7761" w14:textId="37AE9A04" w:rsidR="00DB74E5" w:rsidRPr="004351F2" w:rsidRDefault="00DB74E5" w:rsidP="00DB74E5">
            <w:pPr>
              <w:rPr>
                <w:sz w:val="20"/>
                <w:szCs w:val="20"/>
              </w:rPr>
            </w:pPr>
          </w:p>
        </w:tc>
        <w:tc>
          <w:tcPr>
            <w:tcW w:w="2567" w:type="dxa"/>
          </w:tcPr>
          <w:p w14:paraId="6E626F2B" w14:textId="77777777" w:rsidR="00DB74E5" w:rsidRPr="004351F2" w:rsidRDefault="00DB74E5" w:rsidP="00DB74E5">
            <w:pPr>
              <w:rPr>
                <w:sz w:val="20"/>
                <w:szCs w:val="20"/>
              </w:rPr>
            </w:pPr>
          </w:p>
          <w:p w14:paraId="514FC7E5" w14:textId="0F5C81D0" w:rsidR="00DB74E5" w:rsidRPr="004351F2" w:rsidRDefault="00DB74E5" w:rsidP="00DB74E5">
            <w:pPr>
              <w:rPr>
                <w:sz w:val="20"/>
                <w:szCs w:val="20"/>
              </w:rPr>
            </w:pPr>
            <w:r w:rsidRPr="004351F2">
              <w:rPr>
                <w:rFonts w:cs="Times New Roman"/>
                <w:sz w:val="20"/>
                <w:szCs w:val="20"/>
              </w:rPr>
              <w:t>Attempts to describe assumptions</w:t>
            </w:r>
          </w:p>
        </w:tc>
      </w:tr>
      <w:tr w:rsidR="00DB74E5" w:rsidRPr="004351F2" w14:paraId="2F2A71B0" w14:textId="77777777" w:rsidTr="00BA589D">
        <w:trPr>
          <w:jc w:val="center"/>
        </w:trPr>
        <w:tc>
          <w:tcPr>
            <w:tcW w:w="2561" w:type="dxa"/>
          </w:tcPr>
          <w:p w14:paraId="3379D30F" w14:textId="0EA8E5D5" w:rsidR="00DB74E5" w:rsidRPr="004351F2" w:rsidRDefault="00DB74E5" w:rsidP="00DB74E5">
            <w:pPr>
              <w:rPr>
                <w:b/>
                <w:sz w:val="20"/>
                <w:szCs w:val="20"/>
              </w:rPr>
            </w:pPr>
          </w:p>
          <w:p w14:paraId="63A2C42F" w14:textId="56D21A3C" w:rsidR="00DB74E5" w:rsidRPr="004351F2" w:rsidRDefault="00DB74E5" w:rsidP="00DB74E5">
            <w:pPr>
              <w:rPr>
                <w:b/>
                <w:sz w:val="20"/>
                <w:szCs w:val="20"/>
              </w:rPr>
            </w:pPr>
            <w:r w:rsidRPr="004351F2">
              <w:rPr>
                <w:b/>
                <w:sz w:val="20"/>
                <w:szCs w:val="20"/>
              </w:rPr>
              <w:t>Constructing cogent arguments utilizing quantitative material</w:t>
            </w:r>
          </w:p>
        </w:tc>
        <w:tc>
          <w:tcPr>
            <w:tcW w:w="2681" w:type="dxa"/>
          </w:tcPr>
          <w:p w14:paraId="764D21D4" w14:textId="77777777" w:rsidR="00DB74E5" w:rsidRPr="004351F2" w:rsidRDefault="00DB74E5" w:rsidP="00DB74E5">
            <w:pPr>
              <w:rPr>
                <w:sz w:val="20"/>
                <w:szCs w:val="20"/>
              </w:rPr>
            </w:pPr>
          </w:p>
          <w:p w14:paraId="0817AB4B" w14:textId="629028C5" w:rsidR="00DB74E5" w:rsidRPr="004351F2" w:rsidRDefault="00DB74E5" w:rsidP="00DB74E5">
            <w:pPr>
              <w:rPr>
                <w:sz w:val="20"/>
                <w:szCs w:val="20"/>
              </w:rPr>
            </w:pPr>
            <w:r w:rsidRPr="004351F2">
              <w:rPr>
                <w:sz w:val="20"/>
                <w:szCs w:val="20"/>
              </w:rPr>
              <w:t xml:space="preserve">Uses quantitative information in connection with the argument or purpose of the work, presents it in an effective format, and explicates it with </w:t>
            </w:r>
            <w:r w:rsidR="005B1DB0" w:rsidRPr="004351F2">
              <w:rPr>
                <w:sz w:val="20"/>
                <w:szCs w:val="20"/>
              </w:rPr>
              <w:t>consistently high quality</w:t>
            </w:r>
          </w:p>
        </w:tc>
        <w:tc>
          <w:tcPr>
            <w:tcW w:w="2575" w:type="dxa"/>
          </w:tcPr>
          <w:p w14:paraId="0F1317AB" w14:textId="77777777" w:rsidR="00DB74E5" w:rsidRPr="004351F2" w:rsidRDefault="00DB74E5" w:rsidP="00DB74E5">
            <w:pPr>
              <w:rPr>
                <w:sz w:val="20"/>
                <w:szCs w:val="20"/>
              </w:rPr>
            </w:pPr>
          </w:p>
          <w:p w14:paraId="6A7FB02B" w14:textId="6D498754" w:rsidR="00DB74E5" w:rsidRPr="004351F2" w:rsidRDefault="00DB74E5" w:rsidP="00DB74E5">
            <w:pPr>
              <w:rPr>
                <w:sz w:val="20"/>
                <w:szCs w:val="20"/>
              </w:rPr>
            </w:pPr>
            <w:r w:rsidRPr="004351F2">
              <w:rPr>
                <w:rFonts w:cs="Times New Roman"/>
                <w:sz w:val="20"/>
                <w:szCs w:val="20"/>
              </w:rPr>
              <w:t xml:space="preserve">Uses quantitative information in connection with the argument or purpose of the work, though data may be presented in a less than completely effective format or some parts of the explication </w:t>
            </w:r>
            <w:r w:rsidR="005B1DB0" w:rsidRPr="004351F2">
              <w:rPr>
                <w:rFonts w:cs="Times New Roman"/>
                <w:sz w:val="20"/>
                <w:szCs w:val="20"/>
              </w:rPr>
              <w:t>may be uneven</w:t>
            </w:r>
          </w:p>
        </w:tc>
        <w:tc>
          <w:tcPr>
            <w:tcW w:w="2566" w:type="dxa"/>
          </w:tcPr>
          <w:p w14:paraId="3F96528A" w14:textId="77777777" w:rsidR="00DB74E5" w:rsidRPr="004351F2" w:rsidRDefault="00DB74E5" w:rsidP="00DB74E5">
            <w:pPr>
              <w:rPr>
                <w:sz w:val="20"/>
                <w:szCs w:val="20"/>
              </w:rPr>
            </w:pPr>
          </w:p>
          <w:p w14:paraId="04E947B6" w14:textId="2DFA6A16" w:rsidR="00DB74E5" w:rsidRPr="004351F2" w:rsidRDefault="00DB74E5" w:rsidP="005B1DB0">
            <w:pPr>
              <w:autoSpaceDE w:val="0"/>
              <w:autoSpaceDN w:val="0"/>
              <w:adjustRightInd w:val="0"/>
              <w:rPr>
                <w:rFonts w:cs="Times New Roman"/>
                <w:sz w:val="20"/>
                <w:szCs w:val="20"/>
              </w:rPr>
            </w:pPr>
            <w:r w:rsidRPr="004351F2">
              <w:rPr>
                <w:rFonts w:cs="Times New Roman"/>
                <w:sz w:val="20"/>
                <w:szCs w:val="20"/>
              </w:rPr>
              <w:t>Uses quantitative information, but does not</w:t>
            </w:r>
            <w:r w:rsidR="005B1DB0" w:rsidRPr="004351F2">
              <w:rPr>
                <w:rFonts w:cs="Times New Roman"/>
                <w:sz w:val="20"/>
                <w:szCs w:val="20"/>
              </w:rPr>
              <w:t xml:space="preserve"> </w:t>
            </w:r>
            <w:r w:rsidRPr="004351F2">
              <w:rPr>
                <w:rFonts w:cs="Times New Roman"/>
                <w:sz w:val="20"/>
                <w:szCs w:val="20"/>
              </w:rPr>
              <w:t>effectively connect it to the argument or purpose</w:t>
            </w:r>
            <w:r w:rsidR="005B1DB0" w:rsidRPr="004351F2">
              <w:rPr>
                <w:rFonts w:cs="Times New Roman"/>
                <w:sz w:val="20"/>
                <w:szCs w:val="20"/>
              </w:rPr>
              <w:t xml:space="preserve"> of the work</w:t>
            </w:r>
          </w:p>
        </w:tc>
        <w:tc>
          <w:tcPr>
            <w:tcW w:w="2567" w:type="dxa"/>
          </w:tcPr>
          <w:p w14:paraId="0470C0DA" w14:textId="77777777" w:rsidR="00DB74E5" w:rsidRPr="004351F2" w:rsidRDefault="00DB74E5" w:rsidP="00DB74E5">
            <w:pPr>
              <w:rPr>
                <w:sz w:val="20"/>
                <w:szCs w:val="20"/>
              </w:rPr>
            </w:pPr>
          </w:p>
          <w:p w14:paraId="422F4C35" w14:textId="77777777" w:rsidR="00DB74E5" w:rsidRPr="004351F2" w:rsidRDefault="00DB74E5" w:rsidP="005B1DB0">
            <w:pPr>
              <w:autoSpaceDE w:val="0"/>
              <w:autoSpaceDN w:val="0"/>
              <w:adjustRightInd w:val="0"/>
              <w:rPr>
                <w:rFonts w:cs="Times New Roman"/>
                <w:sz w:val="20"/>
                <w:szCs w:val="20"/>
              </w:rPr>
            </w:pPr>
            <w:r w:rsidRPr="004351F2">
              <w:rPr>
                <w:rFonts w:cs="Times New Roman"/>
                <w:sz w:val="20"/>
                <w:szCs w:val="20"/>
              </w:rPr>
              <w:t>Presents an argument for which quantitative evidence is pertinent, but does not provide adequate explicit numerical support. (May use quasi-quantitative words such as "many," "few," "increasing," "small," and the like in place of</w:t>
            </w:r>
            <w:r w:rsidR="005B1DB0" w:rsidRPr="004351F2">
              <w:rPr>
                <w:rFonts w:cs="Times New Roman"/>
                <w:sz w:val="20"/>
                <w:szCs w:val="20"/>
              </w:rPr>
              <w:t xml:space="preserve"> </w:t>
            </w:r>
            <w:r w:rsidRPr="004351F2">
              <w:rPr>
                <w:rFonts w:cs="Times New Roman"/>
                <w:sz w:val="20"/>
                <w:szCs w:val="20"/>
              </w:rPr>
              <w:t>actual quantities.)</w:t>
            </w:r>
          </w:p>
          <w:p w14:paraId="74A3135B" w14:textId="0EADF226" w:rsidR="005B1DB0" w:rsidRPr="004351F2" w:rsidRDefault="005B1DB0" w:rsidP="005B1DB0">
            <w:pPr>
              <w:autoSpaceDE w:val="0"/>
              <w:autoSpaceDN w:val="0"/>
              <w:adjustRightInd w:val="0"/>
              <w:rPr>
                <w:rFonts w:cs="Times New Roman"/>
                <w:sz w:val="20"/>
                <w:szCs w:val="20"/>
              </w:rPr>
            </w:pPr>
          </w:p>
        </w:tc>
      </w:tr>
      <w:tr w:rsidR="00DB74E5" w:rsidRPr="004351F2" w14:paraId="1B366DFA" w14:textId="77777777" w:rsidTr="00BA589D">
        <w:trPr>
          <w:jc w:val="center"/>
        </w:trPr>
        <w:tc>
          <w:tcPr>
            <w:tcW w:w="2561" w:type="dxa"/>
          </w:tcPr>
          <w:p w14:paraId="0A582882" w14:textId="77777777" w:rsidR="00DB74E5" w:rsidRPr="004351F2" w:rsidRDefault="00DB74E5" w:rsidP="00DB74E5">
            <w:pPr>
              <w:rPr>
                <w:b/>
                <w:sz w:val="20"/>
                <w:szCs w:val="20"/>
                <w:highlight w:val="yellow"/>
              </w:rPr>
            </w:pPr>
          </w:p>
          <w:p w14:paraId="7316C636" w14:textId="7AC1A079" w:rsidR="00DB74E5" w:rsidRPr="004351F2" w:rsidRDefault="00DB74E5" w:rsidP="00DB74E5">
            <w:pPr>
              <w:rPr>
                <w:b/>
                <w:sz w:val="20"/>
                <w:szCs w:val="20"/>
              </w:rPr>
            </w:pPr>
            <w:r w:rsidRPr="004351F2">
              <w:rPr>
                <w:b/>
                <w:sz w:val="20"/>
                <w:szCs w:val="20"/>
              </w:rPr>
              <w:t>Using appropriate technology to collect, analyze, and produce quantitative materials</w:t>
            </w:r>
          </w:p>
        </w:tc>
        <w:tc>
          <w:tcPr>
            <w:tcW w:w="2681" w:type="dxa"/>
          </w:tcPr>
          <w:p w14:paraId="4BBEEE4B" w14:textId="77777777" w:rsidR="00DB74E5" w:rsidRPr="004351F2" w:rsidRDefault="00DB74E5" w:rsidP="00DB74E5">
            <w:pPr>
              <w:rPr>
                <w:sz w:val="20"/>
                <w:szCs w:val="20"/>
              </w:rPr>
            </w:pPr>
          </w:p>
          <w:p w14:paraId="76C883A4" w14:textId="1EB98194" w:rsidR="00DB74E5" w:rsidRPr="004351F2" w:rsidRDefault="00DB74E5" w:rsidP="00DB74E5">
            <w:pPr>
              <w:rPr>
                <w:sz w:val="20"/>
                <w:szCs w:val="20"/>
              </w:rPr>
            </w:pPr>
            <w:r w:rsidRPr="004351F2">
              <w:rPr>
                <w:sz w:val="20"/>
                <w:szCs w:val="20"/>
              </w:rPr>
              <w:t xml:space="preserve">Is able to adeptly select the appropriate mode of technology for the data (e.g., excel), </w:t>
            </w:r>
            <w:r w:rsidR="000A0446" w:rsidRPr="004351F2">
              <w:rPr>
                <w:sz w:val="20"/>
                <w:szCs w:val="20"/>
              </w:rPr>
              <w:t>masters the use of the technology</w:t>
            </w:r>
            <w:r w:rsidRPr="004351F2">
              <w:rPr>
                <w:sz w:val="20"/>
                <w:szCs w:val="20"/>
              </w:rPr>
              <w:t>, and interprets its output</w:t>
            </w:r>
            <w:r w:rsidR="000A0446" w:rsidRPr="004351F2">
              <w:rPr>
                <w:sz w:val="20"/>
                <w:szCs w:val="20"/>
              </w:rPr>
              <w:t xml:space="preserve"> correctly </w:t>
            </w:r>
          </w:p>
        </w:tc>
        <w:tc>
          <w:tcPr>
            <w:tcW w:w="2575" w:type="dxa"/>
          </w:tcPr>
          <w:p w14:paraId="056F26F7" w14:textId="77777777" w:rsidR="00DB74E5" w:rsidRPr="004351F2" w:rsidRDefault="00DB74E5" w:rsidP="00DB74E5">
            <w:pPr>
              <w:rPr>
                <w:sz w:val="20"/>
                <w:szCs w:val="20"/>
              </w:rPr>
            </w:pPr>
          </w:p>
          <w:p w14:paraId="143672ED" w14:textId="7AB15829" w:rsidR="00DB74E5" w:rsidRPr="004351F2" w:rsidRDefault="00DB74E5" w:rsidP="005B1DB0">
            <w:pPr>
              <w:rPr>
                <w:sz w:val="20"/>
                <w:szCs w:val="20"/>
              </w:rPr>
            </w:pPr>
            <w:r w:rsidRPr="004351F2">
              <w:rPr>
                <w:sz w:val="20"/>
                <w:szCs w:val="20"/>
              </w:rPr>
              <w:t xml:space="preserve">Is able to select the appropriate mode of technology for the data </w:t>
            </w:r>
            <w:r w:rsidR="005B1DB0" w:rsidRPr="004351F2">
              <w:rPr>
                <w:sz w:val="20"/>
                <w:szCs w:val="20"/>
              </w:rPr>
              <w:t>(e.g., excel) and either</w:t>
            </w:r>
            <w:r w:rsidRPr="004351F2">
              <w:rPr>
                <w:sz w:val="20"/>
                <w:szCs w:val="20"/>
              </w:rPr>
              <w:t xml:space="preserve"> us</w:t>
            </w:r>
            <w:r w:rsidR="000A0446" w:rsidRPr="004351F2">
              <w:rPr>
                <w:sz w:val="20"/>
                <w:szCs w:val="20"/>
              </w:rPr>
              <w:t>es the technology</w:t>
            </w:r>
            <w:r w:rsidR="005B1DB0" w:rsidRPr="004351F2">
              <w:rPr>
                <w:sz w:val="20"/>
                <w:szCs w:val="20"/>
              </w:rPr>
              <w:t xml:space="preserve"> or</w:t>
            </w:r>
            <w:r w:rsidRPr="004351F2">
              <w:rPr>
                <w:sz w:val="20"/>
                <w:szCs w:val="20"/>
              </w:rPr>
              <w:t xml:space="preserve"> interprets its output with no more than minor problems or errors</w:t>
            </w:r>
          </w:p>
        </w:tc>
        <w:tc>
          <w:tcPr>
            <w:tcW w:w="2566" w:type="dxa"/>
          </w:tcPr>
          <w:p w14:paraId="07E3B37C" w14:textId="77777777" w:rsidR="00DB74E5" w:rsidRPr="004351F2" w:rsidRDefault="00DB74E5" w:rsidP="00DB74E5">
            <w:pPr>
              <w:rPr>
                <w:sz w:val="20"/>
                <w:szCs w:val="20"/>
              </w:rPr>
            </w:pPr>
          </w:p>
          <w:p w14:paraId="4833DEF5" w14:textId="2B407DB6" w:rsidR="00DB74E5" w:rsidRPr="004351F2" w:rsidRDefault="00DB74E5" w:rsidP="00DB74E5">
            <w:pPr>
              <w:rPr>
                <w:sz w:val="20"/>
                <w:szCs w:val="20"/>
              </w:rPr>
            </w:pPr>
            <w:r w:rsidRPr="004351F2">
              <w:rPr>
                <w:sz w:val="20"/>
                <w:szCs w:val="20"/>
              </w:rPr>
              <w:t>Is able to select the appropriate mode of technology (e.g., excel) but does not fully comprehend its use or makes errors in using the technology or in interpreting its output (e.g., misinterpreting a spreadsheet)</w:t>
            </w:r>
          </w:p>
          <w:p w14:paraId="4569572A" w14:textId="4EC3CA47" w:rsidR="00DB74E5" w:rsidRPr="004351F2" w:rsidRDefault="00DB74E5" w:rsidP="00DB74E5">
            <w:pPr>
              <w:rPr>
                <w:sz w:val="20"/>
                <w:szCs w:val="20"/>
              </w:rPr>
            </w:pPr>
          </w:p>
        </w:tc>
        <w:tc>
          <w:tcPr>
            <w:tcW w:w="2567" w:type="dxa"/>
          </w:tcPr>
          <w:p w14:paraId="7541CC28" w14:textId="77777777" w:rsidR="00DB74E5" w:rsidRPr="004351F2" w:rsidRDefault="00DB74E5" w:rsidP="00DB74E5">
            <w:pPr>
              <w:rPr>
                <w:sz w:val="20"/>
                <w:szCs w:val="20"/>
              </w:rPr>
            </w:pPr>
          </w:p>
          <w:p w14:paraId="78421BEE" w14:textId="0C319F7F" w:rsidR="00DB74E5" w:rsidRPr="004351F2" w:rsidRDefault="00DB74E5" w:rsidP="00DB74E5">
            <w:pPr>
              <w:rPr>
                <w:sz w:val="20"/>
                <w:szCs w:val="20"/>
              </w:rPr>
            </w:pPr>
            <w:r w:rsidRPr="004351F2">
              <w:rPr>
                <w:sz w:val="20"/>
                <w:szCs w:val="20"/>
              </w:rPr>
              <w:t>Is unable to correctly select the appropriate mode of technology or program (e.g., excel) or is unable to use the selected technology</w:t>
            </w:r>
            <w:r w:rsidR="000A0446" w:rsidRPr="004351F2">
              <w:rPr>
                <w:sz w:val="20"/>
                <w:szCs w:val="20"/>
              </w:rPr>
              <w:t xml:space="preserve"> appropriately</w:t>
            </w:r>
          </w:p>
        </w:tc>
      </w:tr>
    </w:tbl>
    <w:p w14:paraId="4310FE9D" w14:textId="08FD3CB1" w:rsidR="005F3AA7" w:rsidRPr="004351F2" w:rsidRDefault="005F3AA7" w:rsidP="00E44EB2">
      <w:pPr>
        <w:rPr>
          <w:sz w:val="20"/>
          <w:szCs w:val="20"/>
        </w:rPr>
      </w:pPr>
    </w:p>
    <w:sectPr w:rsidR="005F3AA7" w:rsidRPr="004351F2" w:rsidSect="00745EB3">
      <w:pgSz w:w="15840" w:h="12240" w:orient="landscape"/>
      <w:pgMar w:top="72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EB2"/>
    <w:rsid w:val="000A0446"/>
    <w:rsid w:val="000A3516"/>
    <w:rsid w:val="001239EA"/>
    <w:rsid w:val="00165213"/>
    <w:rsid w:val="002200BB"/>
    <w:rsid w:val="00286F16"/>
    <w:rsid w:val="002B2222"/>
    <w:rsid w:val="002C76C5"/>
    <w:rsid w:val="0037003D"/>
    <w:rsid w:val="004351F2"/>
    <w:rsid w:val="004C3AF1"/>
    <w:rsid w:val="004D5EF9"/>
    <w:rsid w:val="004F4E59"/>
    <w:rsid w:val="00581C42"/>
    <w:rsid w:val="005A3D49"/>
    <w:rsid w:val="005B1DB0"/>
    <w:rsid w:val="005C4A7F"/>
    <w:rsid w:val="005F3AA7"/>
    <w:rsid w:val="0063721D"/>
    <w:rsid w:val="00654E55"/>
    <w:rsid w:val="00675C28"/>
    <w:rsid w:val="006A3179"/>
    <w:rsid w:val="006F5B94"/>
    <w:rsid w:val="00745EB3"/>
    <w:rsid w:val="007A0343"/>
    <w:rsid w:val="007E12FB"/>
    <w:rsid w:val="007E3A77"/>
    <w:rsid w:val="008A2AFF"/>
    <w:rsid w:val="00993B0E"/>
    <w:rsid w:val="00A05D82"/>
    <w:rsid w:val="00A8429D"/>
    <w:rsid w:val="00B11773"/>
    <w:rsid w:val="00BA589D"/>
    <w:rsid w:val="00BB5AB4"/>
    <w:rsid w:val="00C008F6"/>
    <w:rsid w:val="00DB74E5"/>
    <w:rsid w:val="00E44EB2"/>
    <w:rsid w:val="00E54B20"/>
    <w:rsid w:val="00E56A72"/>
    <w:rsid w:val="00E61AF4"/>
    <w:rsid w:val="00E74450"/>
    <w:rsid w:val="00EE0E01"/>
    <w:rsid w:val="00EF53F7"/>
    <w:rsid w:val="00F17887"/>
    <w:rsid w:val="00F34ACF"/>
    <w:rsid w:val="00F84DA2"/>
    <w:rsid w:val="00FA144B"/>
    <w:rsid w:val="00FB78F4"/>
    <w:rsid w:val="00FD3C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B3C8D"/>
  <w15:docId w15:val="{1AC5A71A-466A-47BC-83B7-E05AD71F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E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BB5AB4"/>
    <w:pPr>
      <w:suppressAutoHyphens/>
      <w:autoSpaceDN w:val="0"/>
      <w:textAlignment w:val="baseline"/>
    </w:pPr>
    <w:rPr>
      <w:rFonts w:ascii="Times New Roman" w:eastAsia="Times New Roman" w:hAnsi="Times New Roman" w:cs="Times New Roman"/>
      <w:kern w:val="3"/>
      <w:lang w:val="ru-RU"/>
    </w:rPr>
  </w:style>
  <w:style w:type="paragraph" w:styleId="BalloonText">
    <w:name w:val="Balloon Text"/>
    <w:basedOn w:val="Normal"/>
    <w:link w:val="BalloonTextChar"/>
    <w:uiPriority w:val="99"/>
    <w:semiHidden/>
    <w:unhideWhenUsed/>
    <w:rsid w:val="00E54B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4B20"/>
    <w:rPr>
      <w:rFonts w:ascii="Lucida Grande" w:hAnsi="Lucida Grande" w:cs="Lucida Grande"/>
      <w:sz w:val="18"/>
      <w:szCs w:val="18"/>
    </w:rPr>
  </w:style>
  <w:style w:type="paragraph" w:styleId="ListParagraph">
    <w:name w:val="List Paragraph"/>
    <w:basedOn w:val="Normal"/>
    <w:uiPriority w:val="34"/>
    <w:qFormat/>
    <w:rsid w:val="00DB7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Larson</dc:creator>
  <cp:keywords/>
  <cp:lastModifiedBy>Rebecca M Throneburg</cp:lastModifiedBy>
  <cp:revision>11</cp:revision>
  <cp:lastPrinted>2015-02-03T16:28:00Z</cp:lastPrinted>
  <dcterms:created xsi:type="dcterms:W3CDTF">2015-02-03T15:40:00Z</dcterms:created>
  <dcterms:modified xsi:type="dcterms:W3CDTF">2015-03-17T23:43:00Z</dcterms:modified>
</cp:coreProperties>
</file>